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517A" w14:textId="77777777" w:rsidR="009319CE" w:rsidRPr="00A512F4" w:rsidRDefault="00A30D7E" w:rsidP="00EC7A71">
      <w:pPr>
        <w:jc w:val="center"/>
        <w:rPr>
          <w:rFonts w:asciiTheme="minorHAnsi" w:hAnsiTheme="minorHAnsi" w:cstheme="minorHAnsi"/>
          <w:b/>
        </w:rPr>
      </w:pPr>
      <w:r w:rsidRPr="00A512F4">
        <w:rPr>
          <w:rFonts w:asciiTheme="minorHAnsi" w:hAnsiTheme="minorHAnsi" w:cstheme="minorHAnsi"/>
          <w:b/>
        </w:rPr>
        <w:t>Maternal Mortality Review Committee</w:t>
      </w:r>
    </w:p>
    <w:p w14:paraId="78245BC1" w14:textId="472B98CE" w:rsidR="00A30D7E" w:rsidRPr="00A512F4" w:rsidRDefault="00552132" w:rsidP="00E87207">
      <w:pPr>
        <w:jc w:val="center"/>
        <w:rPr>
          <w:rFonts w:asciiTheme="minorHAnsi" w:hAnsiTheme="minorHAnsi" w:cstheme="minorHAnsi"/>
          <w:b/>
        </w:rPr>
      </w:pPr>
      <w:r>
        <w:rPr>
          <w:rFonts w:asciiTheme="minorHAnsi" w:hAnsiTheme="minorHAnsi" w:cstheme="minorHAnsi"/>
          <w:b/>
        </w:rPr>
        <w:t xml:space="preserve">Key Components to Support </w:t>
      </w:r>
      <w:r w:rsidR="00711E7F">
        <w:rPr>
          <w:rFonts w:asciiTheme="minorHAnsi" w:hAnsiTheme="minorHAnsi" w:cstheme="minorHAnsi"/>
          <w:b/>
        </w:rPr>
        <w:t xml:space="preserve">Authorities and Protections </w:t>
      </w:r>
      <w:bookmarkStart w:id="0" w:name="_GoBack"/>
      <w:bookmarkEnd w:id="0"/>
    </w:p>
    <w:p w14:paraId="25E1024A" w14:textId="77777777" w:rsidR="00A30D7E" w:rsidRPr="00263B21" w:rsidRDefault="00A30D7E" w:rsidP="00E87207">
      <w:pPr>
        <w:jc w:val="center"/>
        <w:rPr>
          <w:rFonts w:asciiTheme="minorHAnsi" w:hAnsiTheme="minorHAnsi" w:cstheme="minorHAnsi"/>
          <w:sz w:val="22"/>
          <w:szCs w:val="22"/>
        </w:rPr>
      </w:pPr>
    </w:p>
    <w:p w14:paraId="2349C109" w14:textId="54AFA72B" w:rsidR="00A73BEF" w:rsidRDefault="0001134C" w:rsidP="00A73BEF">
      <w:pPr>
        <w:rPr>
          <w:rFonts w:asciiTheme="minorHAnsi" w:hAnsiTheme="minorHAnsi" w:cstheme="minorHAnsi"/>
          <w:sz w:val="22"/>
          <w:szCs w:val="22"/>
        </w:rPr>
      </w:pPr>
      <w:bookmarkStart w:id="1" w:name="_Hlk3968990"/>
      <w:r w:rsidRPr="00263B21">
        <w:rPr>
          <w:rFonts w:asciiTheme="minorHAnsi" w:hAnsiTheme="minorHAnsi" w:cstheme="minorHAnsi"/>
          <w:sz w:val="22"/>
          <w:szCs w:val="22"/>
        </w:rPr>
        <w:t>Efforts to</w:t>
      </w:r>
      <w:r w:rsidR="00A30D7E" w:rsidRPr="00263B21">
        <w:rPr>
          <w:rFonts w:asciiTheme="minorHAnsi" w:hAnsiTheme="minorHAnsi" w:cstheme="minorHAnsi"/>
          <w:sz w:val="22"/>
          <w:szCs w:val="22"/>
        </w:rPr>
        <w:t xml:space="preserve"> establish </w:t>
      </w:r>
      <w:r w:rsidRPr="00263B21">
        <w:rPr>
          <w:rFonts w:asciiTheme="minorHAnsi" w:hAnsiTheme="minorHAnsi" w:cstheme="minorHAnsi"/>
          <w:sz w:val="22"/>
          <w:szCs w:val="22"/>
        </w:rPr>
        <w:t xml:space="preserve">or strengthen </w:t>
      </w:r>
      <w:r w:rsidR="00A30D7E" w:rsidRPr="00263B21">
        <w:rPr>
          <w:rFonts w:asciiTheme="minorHAnsi" w:hAnsiTheme="minorHAnsi" w:cstheme="minorHAnsi"/>
          <w:sz w:val="22"/>
          <w:szCs w:val="22"/>
        </w:rPr>
        <w:t>a maternal mortality review committee (MMRC)</w:t>
      </w:r>
      <w:r w:rsidRPr="00263B21">
        <w:rPr>
          <w:rFonts w:asciiTheme="minorHAnsi" w:hAnsiTheme="minorHAnsi" w:cstheme="minorHAnsi"/>
          <w:sz w:val="22"/>
          <w:szCs w:val="22"/>
        </w:rPr>
        <w:t xml:space="preserve"> </w:t>
      </w:r>
      <w:r w:rsidR="00A30D7E" w:rsidRPr="00263B21">
        <w:rPr>
          <w:rFonts w:asciiTheme="minorHAnsi" w:hAnsiTheme="minorHAnsi" w:cstheme="minorHAnsi"/>
          <w:sz w:val="22"/>
          <w:szCs w:val="22"/>
        </w:rPr>
        <w:t xml:space="preserve">should </w:t>
      </w:r>
      <w:r w:rsidRPr="00263B21">
        <w:rPr>
          <w:rFonts w:asciiTheme="minorHAnsi" w:hAnsiTheme="minorHAnsi" w:cstheme="minorHAnsi"/>
          <w:sz w:val="22"/>
          <w:szCs w:val="22"/>
        </w:rPr>
        <w:t>include a review of what protections</w:t>
      </w:r>
      <w:r w:rsidR="002653F2" w:rsidRPr="00263B21">
        <w:rPr>
          <w:rFonts w:asciiTheme="minorHAnsi" w:hAnsiTheme="minorHAnsi" w:cstheme="minorHAnsi"/>
          <w:sz w:val="22"/>
          <w:szCs w:val="22"/>
        </w:rPr>
        <w:t xml:space="preserve"> and authorities</w:t>
      </w:r>
      <w:r w:rsidR="00263B21" w:rsidRPr="00263B21">
        <w:rPr>
          <w:rFonts w:asciiTheme="minorHAnsi" w:hAnsiTheme="minorHAnsi" w:cstheme="minorHAnsi"/>
          <w:sz w:val="22"/>
          <w:szCs w:val="22"/>
        </w:rPr>
        <w:t xml:space="preserve"> are already</w:t>
      </w:r>
      <w:r w:rsidR="002653F2" w:rsidRPr="00263B21">
        <w:rPr>
          <w:rFonts w:asciiTheme="minorHAnsi" w:hAnsiTheme="minorHAnsi" w:cstheme="minorHAnsi"/>
          <w:sz w:val="22"/>
          <w:szCs w:val="22"/>
        </w:rPr>
        <w:t xml:space="preserve"> in place</w:t>
      </w:r>
      <w:r w:rsidR="00A30D7E" w:rsidRPr="00263B21">
        <w:rPr>
          <w:rFonts w:asciiTheme="minorHAnsi" w:hAnsiTheme="minorHAnsi" w:cstheme="minorHAnsi"/>
          <w:sz w:val="22"/>
          <w:szCs w:val="22"/>
        </w:rPr>
        <w:t>.</w:t>
      </w:r>
      <w:r w:rsidR="00F8491D" w:rsidRPr="00263B21">
        <w:rPr>
          <w:rFonts w:asciiTheme="minorHAnsi" w:hAnsiTheme="minorHAnsi" w:cstheme="minorHAnsi"/>
          <w:sz w:val="22"/>
          <w:szCs w:val="22"/>
        </w:rPr>
        <w:t xml:space="preserve"> </w:t>
      </w:r>
      <w:r w:rsidR="007D6516">
        <w:rPr>
          <w:rFonts w:asciiTheme="minorHAnsi" w:hAnsiTheme="minorHAnsi" w:cstheme="minorHAnsi"/>
          <w:sz w:val="22"/>
          <w:szCs w:val="22"/>
        </w:rPr>
        <w:t>The</w:t>
      </w:r>
      <w:r w:rsidR="009F4DCE">
        <w:rPr>
          <w:rFonts w:asciiTheme="minorHAnsi" w:hAnsiTheme="minorHAnsi" w:cstheme="minorHAnsi"/>
          <w:sz w:val="22"/>
          <w:szCs w:val="22"/>
        </w:rPr>
        <w:t xml:space="preserve"> purpose of the MMRC is not to assign blame</w:t>
      </w:r>
      <w:r w:rsidR="00C04C19">
        <w:rPr>
          <w:rFonts w:asciiTheme="minorHAnsi" w:hAnsiTheme="minorHAnsi" w:cstheme="minorHAnsi"/>
          <w:sz w:val="22"/>
          <w:szCs w:val="22"/>
        </w:rPr>
        <w:t xml:space="preserve"> to individual providers or </w:t>
      </w:r>
      <w:r w:rsidR="00981FB1">
        <w:rPr>
          <w:rFonts w:asciiTheme="minorHAnsi" w:hAnsiTheme="minorHAnsi" w:cstheme="minorHAnsi"/>
          <w:sz w:val="22"/>
          <w:szCs w:val="22"/>
        </w:rPr>
        <w:t>hospitals</w:t>
      </w:r>
      <w:r w:rsidR="009F4DCE">
        <w:rPr>
          <w:rFonts w:asciiTheme="minorHAnsi" w:hAnsiTheme="minorHAnsi" w:cstheme="minorHAnsi"/>
          <w:sz w:val="22"/>
          <w:szCs w:val="22"/>
        </w:rPr>
        <w:t xml:space="preserve"> but to look for opportunities to prevent maternal deaths within and across cases for population level action. It is distinct from and not a substitute for hospital peer review committees, root cause analysis, or complaint investigations.</w:t>
      </w:r>
      <w:r w:rsidR="00C04C19">
        <w:rPr>
          <w:rFonts w:asciiTheme="minorHAnsi" w:hAnsiTheme="minorHAnsi" w:cstheme="minorHAnsi"/>
          <w:sz w:val="22"/>
          <w:szCs w:val="22"/>
        </w:rPr>
        <w:t xml:space="preserve"> Authority and protections for MMRCs must protect the intent of the public health surveillance process.</w:t>
      </w:r>
    </w:p>
    <w:bookmarkEnd w:id="1"/>
    <w:p w14:paraId="74BD168C" w14:textId="77777777" w:rsidR="00AD44CB" w:rsidRPr="00263B21" w:rsidRDefault="00AD44CB" w:rsidP="00A73BEF">
      <w:pPr>
        <w:rPr>
          <w:rFonts w:asciiTheme="minorHAnsi" w:hAnsiTheme="minorHAnsi" w:cstheme="minorHAnsi"/>
          <w:sz w:val="22"/>
          <w:szCs w:val="22"/>
        </w:rPr>
      </w:pPr>
    </w:p>
    <w:p w14:paraId="5F7F2B2B" w14:textId="380C9DCA" w:rsidR="00A73BEF" w:rsidRPr="00AD44CB" w:rsidRDefault="00A73BEF" w:rsidP="00AD44CB">
      <w:pPr>
        <w:rPr>
          <w:rFonts w:asciiTheme="minorHAnsi" w:hAnsiTheme="minorHAnsi" w:cstheme="minorHAnsi"/>
          <w:sz w:val="22"/>
          <w:szCs w:val="22"/>
        </w:rPr>
      </w:pPr>
      <w:r w:rsidRPr="00AD44CB">
        <w:rPr>
          <w:rFonts w:asciiTheme="minorHAnsi" w:hAnsiTheme="minorHAnsi" w:cstheme="minorHAnsi"/>
          <w:sz w:val="22"/>
          <w:szCs w:val="22"/>
        </w:rPr>
        <w:t xml:space="preserve">The “Building US Capacity to Review and Prevent Maternal Deaths” </w:t>
      </w:r>
      <w:r w:rsidR="00C35251" w:rsidRPr="00AD44CB">
        <w:rPr>
          <w:rFonts w:asciiTheme="minorHAnsi" w:hAnsiTheme="minorHAnsi" w:cstheme="minorHAnsi"/>
          <w:sz w:val="22"/>
          <w:szCs w:val="22"/>
        </w:rPr>
        <w:t>initiative</w:t>
      </w:r>
      <w:r w:rsidR="00B37843" w:rsidRPr="00AD44CB">
        <w:rPr>
          <w:rFonts w:asciiTheme="minorHAnsi" w:hAnsiTheme="minorHAnsi" w:cstheme="minorHAnsi"/>
          <w:sz w:val="22"/>
          <w:szCs w:val="22"/>
        </w:rPr>
        <w:t xml:space="preserve"> </w:t>
      </w:r>
      <w:r w:rsidRPr="00AD44CB">
        <w:rPr>
          <w:rFonts w:asciiTheme="minorHAnsi" w:hAnsiTheme="minorHAnsi" w:cstheme="minorHAnsi"/>
          <w:sz w:val="22"/>
          <w:szCs w:val="22"/>
        </w:rPr>
        <w:t xml:space="preserve">developed a </w:t>
      </w:r>
      <w:hyperlink r:id="rId7" w:history="1">
        <w:r w:rsidRPr="00AD44CB">
          <w:rPr>
            <w:rStyle w:val="Hyperlink"/>
            <w:rFonts w:asciiTheme="minorHAnsi" w:hAnsiTheme="minorHAnsi" w:cstheme="minorHAnsi"/>
            <w:sz w:val="22"/>
            <w:szCs w:val="22"/>
          </w:rPr>
          <w:t>short video</w:t>
        </w:r>
      </w:hyperlink>
      <w:r w:rsidRPr="00AD44CB">
        <w:rPr>
          <w:rFonts w:asciiTheme="minorHAnsi" w:hAnsiTheme="minorHAnsi" w:cstheme="minorHAnsi"/>
          <w:sz w:val="22"/>
          <w:szCs w:val="22"/>
        </w:rPr>
        <w:t xml:space="preserve"> </w:t>
      </w:r>
      <w:r w:rsidR="009C13E4">
        <w:rPr>
          <w:rFonts w:asciiTheme="minorHAnsi" w:hAnsiTheme="minorHAnsi" w:cstheme="minorHAnsi"/>
          <w:sz w:val="22"/>
          <w:szCs w:val="22"/>
        </w:rPr>
        <w:t>&lt;</w:t>
      </w:r>
      <w:r w:rsidR="009C13E4" w:rsidRPr="009C13E4">
        <w:rPr>
          <w:rFonts w:asciiTheme="minorHAnsi" w:hAnsiTheme="minorHAnsi" w:cstheme="minorHAnsi"/>
          <w:sz w:val="22"/>
          <w:szCs w:val="22"/>
        </w:rPr>
        <w:t>youtu.be/jtKde7hGz4I</w:t>
      </w:r>
      <w:r w:rsidR="009C13E4">
        <w:rPr>
          <w:rFonts w:asciiTheme="minorHAnsi" w:hAnsiTheme="minorHAnsi" w:cstheme="minorHAnsi"/>
          <w:sz w:val="22"/>
          <w:szCs w:val="22"/>
        </w:rPr>
        <w:t xml:space="preserve">&gt; </w:t>
      </w:r>
      <w:r w:rsidRPr="00AD44CB">
        <w:rPr>
          <w:rFonts w:asciiTheme="minorHAnsi" w:hAnsiTheme="minorHAnsi" w:cstheme="minorHAnsi"/>
          <w:sz w:val="22"/>
          <w:szCs w:val="22"/>
        </w:rPr>
        <w:t>on the steps to establish a MMRC</w:t>
      </w:r>
      <w:r w:rsidR="00513E8D">
        <w:rPr>
          <w:rFonts w:asciiTheme="minorHAnsi" w:hAnsiTheme="minorHAnsi" w:cstheme="minorHAnsi"/>
          <w:sz w:val="22"/>
          <w:szCs w:val="22"/>
        </w:rPr>
        <w:t xml:space="preserve"> that </w:t>
      </w:r>
      <w:r w:rsidR="0049764D" w:rsidRPr="00AD44CB">
        <w:rPr>
          <w:rFonts w:asciiTheme="minorHAnsi" w:hAnsiTheme="minorHAnsi" w:cstheme="minorHAnsi"/>
          <w:sz w:val="22"/>
          <w:szCs w:val="22"/>
        </w:rPr>
        <w:t>is</w:t>
      </w:r>
      <w:r w:rsidRPr="00AD44CB">
        <w:rPr>
          <w:rFonts w:asciiTheme="minorHAnsi" w:hAnsiTheme="minorHAnsi" w:cstheme="minorHAnsi"/>
          <w:sz w:val="22"/>
          <w:szCs w:val="22"/>
        </w:rPr>
        <w:t xml:space="preserve"> useful in educating individuals about MMRCs. </w:t>
      </w:r>
    </w:p>
    <w:p w14:paraId="723CD494" w14:textId="77777777" w:rsidR="00AD44CB" w:rsidRDefault="00AD44CB" w:rsidP="00263B21">
      <w:pPr>
        <w:rPr>
          <w:rFonts w:asciiTheme="minorHAnsi" w:hAnsiTheme="minorHAnsi" w:cstheme="minorHAnsi"/>
          <w:sz w:val="22"/>
          <w:szCs w:val="22"/>
        </w:rPr>
      </w:pPr>
    </w:p>
    <w:p w14:paraId="567D7C78" w14:textId="15E930AE" w:rsidR="00A30D7E" w:rsidRPr="00EC7A71" w:rsidRDefault="00711E7F" w:rsidP="00A30D7E">
      <w:pPr>
        <w:rPr>
          <w:rFonts w:asciiTheme="minorHAnsi" w:hAnsiTheme="minorHAnsi" w:cstheme="minorHAnsi"/>
          <w:sz w:val="22"/>
          <w:szCs w:val="22"/>
        </w:rPr>
      </w:pPr>
      <w:r w:rsidRPr="00263B21">
        <w:rPr>
          <w:rFonts w:asciiTheme="minorHAnsi" w:hAnsiTheme="minorHAnsi" w:cstheme="minorHAnsi"/>
          <w:sz w:val="22"/>
          <w:szCs w:val="22"/>
        </w:rPr>
        <w:t>What are some key components to consider?</w:t>
      </w:r>
    </w:p>
    <w:tbl>
      <w:tblPr>
        <w:tblStyle w:val="TableGrid"/>
        <w:tblW w:w="5000" w:type="pct"/>
        <w:tblLook w:val="04A0" w:firstRow="1" w:lastRow="0" w:firstColumn="1" w:lastColumn="0" w:noHBand="0" w:noVBand="1"/>
      </w:tblPr>
      <w:tblGrid>
        <w:gridCol w:w="1887"/>
        <w:gridCol w:w="2878"/>
        <w:gridCol w:w="6025"/>
      </w:tblGrid>
      <w:tr w:rsidR="00372DD9" w:rsidRPr="0001134C" w14:paraId="19A4B0B5" w14:textId="77777777" w:rsidTr="00EC601C">
        <w:tc>
          <w:tcPr>
            <w:tcW w:w="790" w:type="pct"/>
          </w:tcPr>
          <w:p w14:paraId="271CF55E" w14:textId="77777777" w:rsidR="00080E11" w:rsidRPr="0001134C" w:rsidRDefault="005215F2" w:rsidP="00A30D7E">
            <w:pPr>
              <w:jc w:val="center"/>
              <w:rPr>
                <w:rFonts w:asciiTheme="minorHAnsi" w:hAnsiTheme="minorHAnsi" w:cstheme="minorHAnsi"/>
                <w:b/>
                <w:sz w:val="22"/>
                <w:szCs w:val="22"/>
              </w:rPr>
            </w:pPr>
            <w:r w:rsidRPr="0001134C">
              <w:rPr>
                <w:rFonts w:asciiTheme="minorHAnsi" w:hAnsiTheme="minorHAnsi" w:cstheme="minorHAnsi"/>
                <w:b/>
                <w:sz w:val="22"/>
                <w:szCs w:val="22"/>
              </w:rPr>
              <w:t>Component</w:t>
            </w:r>
          </w:p>
        </w:tc>
        <w:tc>
          <w:tcPr>
            <w:tcW w:w="1376" w:type="pct"/>
          </w:tcPr>
          <w:p w14:paraId="1CFDCE99" w14:textId="77777777" w:rsidR="00080E11" w:rsidRPr="0001134C" w:rsidRDefault="00080E11" w:rsidP="00A30D7E">
            <w:pPr>
              <w:jc w:val="center"/>
              <w:rPr>
                <w:rFonts w:asciiTheme="minorHAnsi" w:hAnsiTheme="minorHAnsi" w:cstheme="minorHAnsi"/>
                <w:b/>
                <w:sz w:val="22"/>
                <w:szCs w:val="22"/>
              </w:rPr>
            </w:pPr>
            <w:r w:rsidRPr="0001134C">
              <w:rPr>
                <w:rFonts w:asciiTheme="minorHAnsi" w:hAnsiTheme="minorHAnsi" w:cstheme="minorHAnsi"/>
                <w:b/>
                <w:sz w:val="22"/>
                <w:szCs w:val="22"/>
              </w:rPr>
              <w:t>Rationale</w:t>
            </w:r>
            <w:r w:rsidR="00053A8C">
              <w:rPr>
                <w:rFonts w:asciiTheme="minorHAnsi" w:hAnsiTheme="minorHAnsi" w:cstheme="minorHAnsi"/>
                <w:b/>
                <w:sz w:val="22"/>
                <w:szCs w:val="22"/>
              </w:rPr>
              <w:t xml:space="preserve"> and Objective</w:t>
            </w:r>
          </w:p>
        </w:tc>
        <w:tc>
          <w:tcPr>
            <w:tcW w:w="2834" w:type="pct"/>
          </w:tcPr>
          <w:p w14:paraId="4FEB86F1" w14:textId="55F39F01" w:rsidR="00080E11" w:rsidRPr="0001134C" w:rsidRDefault="00080E11">
            <w:pPr>
              <w:jc w:val="center"/>
              <w:rPr>
                <w:rFonts w:asciiTheme="minorHAnsi" w:hAnsiTheme="minorHAnsi" w:cstheme="minorHAnsi"/>
                <w:b/>
                <w:sz w:val="22"/>
                <w:szCs w:val="22"/>
              </w:rPr>
            </w:pPr>
            <w:r w:rsidRPr="0001134C">
              <w:rPr>
                <w:rFonts w:asciiTheme="minorHAnsi" w:hAnsiTheme="minorHAnsi" w:cstheme="minorHAnsi"/>
                <w:b/>
                <w:sz w:val="22"/>
                <w:szCs w:val="22"/>
              </w:rPr>
              <w:t>Example</w:t>
            </w:r>
          </w:p>
        </w:tc>
      </w:tr>
      <w:tr w:rsidR="00372DD9" w:rsidRPr="0001134C" w14:paraId="315033F6" w14:textId="77777777" w:rsidTr="00EC601C">
        <w:tc>
          <w:tcPr>
            <w:tcW w:w="790" w:type="pct"/>
            <w:vAlign w:val="center"/>
          </w:tcPr>
          <w:p w14:paraId="5E1BCB78" w14:textId="77777777" w:rsidR="00080E11" w:rsidRPr="0001134C" w:rsidRDefault="00080E11" w:rsidP="00080E11">
            <w:pPr>
              <w:numPr>
                <w:ilvl w:val="0"/>
                <w:numId w:val="1"/>
              </w:numPr>
              <w:rPr>
                <w:rFonts w:asciiTheme="minorHAnsi" w:hAnsiTheme="minorHAnsi" w:cstheme="minorHAnsi"/>
                <w:sz w:val="22"/>
                <w:szCs w:val="22"/>
              </w:rPr>
            </w:pPr>
            <w:r w:rsidRPr="0001134C">
              <w:rPr>
                <w:rFonts w:asciiTheme="minorHAnsi" w:hAnsiTheme="minorHAnsi" w:cstheme="minorHAnsi"/>
                <w:sz w:val="22"/>
                <w:szCs w:val="22"/>
              </w:rPr>
              <w:t>Authority to access data</w:t>
            </w:r>
          </w:p>
        </w:tc>
        <w:tc>
          <w:tcPr>
            <w:tcW w:w="1376" w:type="pct"/>
            <w:vAlign w:val="center"/>
          </w:tcPr>
          <w:p w14:paraId="6B59B1E1" w14:textId="64CDB31E" w:rsidR="00080E11" w:rsidRPr="00EC7A71" w:rsidRDefault="005215F2" w:rsidP="001531DE">
            <w:pPr>
              <w:rPr>
                <w:rFonts w:asciiTheme="minorHAnsi" w:hAnsiTheme="minorHAnsi" w:cstheme="minorHAnsi"/>
                <w:sz w:val="20"/>
                <w:szCs w:val="20"/>
              </w:rPr>
            </w:pPr>
            <w:r w:rsidRPr="00EC7A71">
              <w:rPr>
                <w:rFonts w:asciiTheme="minorHAnsi" w:hAnsiTheme="minorHAnsi" w:cstheme="minorHAnsi"/>
                <w:sz w:val="20"/>
                <w:szCs w:val="20"/>
              </w:rPr>
              <w:t>C</w:t>
            </w:r>
            <w:r w:rsidR="00080E11" w:rsidRPr="00EC7A71">
              <w:rPr>
                <w:rFonts w:asciiTheme="minorHAnsi" w:hAnsiTheme="minorHAnsi" w:cstheme="minorHAnsi"/>
                <w:sz w:val="20"/>
                <w:szCs w:val="20"/>
              </w:rPr>
              <w:t xml:space="preserve">ase abstractors should be able to collect </w:t>
            </w:r>
            <w:r w:rsidR="006A06D6" w:rsidRPr="00EC7A71">
              <w:rPr>
                <w:rFonts w:asciiTheme="minorHAnsi" w:hAnsiTheme="minorHAnsi" w:cstheme="minorHAnsi"/>
                <w:sz w:val="20"/>
                <w:szCs w:val="20"/>
              </w:rPr>
              <w:t xml:space="preserve">at a minimum </w:t>
            </w:r>
            <w:r w:rsidR="00080E11" w:rsidRPr="00EC7A71">
              <w:rPr>
                <w:rFonts w:asciiTheme="minorHAnsi" w:hAnsiTheme="minorHAnsi" w:cstheme="minorHAnsi"/>
                <w:sz w:val="20"/>
                <w:szCs w:val="20"/>
              </w:rPr>
              <w:t xml:space="preserve">vital records, hospitalization and prenatal care records, and autopsy reports. </w:t>
            </w:r>
            <w:r w:rsidR="006A06D6" w:rsidRPr="00EC7A71">
              <w:rPr>
                <w:rFonts w:asciiTheme="minorHAnsi" w:hAnsiTheme="minorHAnsi" w:cstheme="minorHAnsi"/>
                <w:sz w:val="20"/>
                <w:szCs w:val="20"/>
              </w:rPr>
              <w:t>Other desirable</w:t>
            </w:r>
            <w:r w:rsidR="00080E11" w:rsidRPr="00EC7A71">
              <w:rPr>
                <w:rFonts w:asciiTheme="minorHAnsi" w:hAnsiTheme="minorHAnsi" w:cstheme="minorHAnsi"/>
                <w:sz w:val="20"/>
                <w:szCs w:val="20"/>
              </w:rPr>
              <w:t xml:space="preserve"> </w:t>
            </w:r>
            <w:r w:rsidR="00263B21" w:rsidRPr="00EC7A71">
              <w:rPr>
                <w:rFonts w:asciiTheme="minorHAnsi" w:hAnsiTheme="minorHAnsi" w:cstheme="minorHAnsi"/>
                <w:sz w:val="20"/>
                <w:szCs w:val="20"/>
              </w:rPr>
              <w:t>data sources</w:t>
            </w:r>
            <w:r w:rsidR="006A06D6" w:rsidRPr="00EC7A71">
              <w:rPr>
                <w:rFonts w:asciiTheme="minorHAnsi" w:hAnsiTheme="minorHAnsi" w:cstheme="minorHAnsi"/>
                <w:sz w:val="20"/>
                <w:szCs w:val="20"/>
              </w:rPr>
              <w:t xml:space="preserve"> include</w:t>
            </w:r>
            <w:r w:rsidR="00080E11" w:rsidRPr="00EC7A71">
              <w:rPr>
                <w:rFonts w:asciiTheme="minorHAnsi" w:hAnsiTheme="minorHAnsi" w:cstheme="minorHAnsi"/>
                <w:sz w:val="20"/>
                <w:szCs w:val="20"/>
              </w:rPr>
              <w:t xml:space="preserve"> interviews</w:t>
            </w:r>
            <w:r w:rsidR="006A06D6" w:rsidRPr="00EC7A71">
              <w:rPr>
                <w:rFonts w:asciiTheme="minorHAnsi" w:hAnsiTheme="minorHAnsi" w:cstheme="minorHAnsi"/>
                <w:sz w:val="20"/>
                <w:szCs w:val="20"/>
              </w:rPr>
              <w:t xml:space="preserve"> </w:t>
            </w:r>
            <w:r w:rsidR="00080E11" w:rsidRPr="00EC7A71">
              <w:rPr>
                <w:rFonts w:asciiTheme="minorHAnsi" w:hAnsiTheme="minorHAnsi" w:cstheme="minorHAnsi"/>
                <w:sz w:val="20"/>
                <w:szCs w:val="20"/>
              </w:rPr>
              <w:t>with family members</w:t>
            </w:r>
            <w:r w:rsidR="006A06D6" w:rsidRPr="00EC7A71">
              <w:rPr>
                <w:rFonts w:asciiTheme="minorHAnsi" w:hAnsiTheme="minorHAnsi" w:cstheme="minorHAnsi"/>
                <w:sz w:val="20"/>
                <w:szCs w:val="20"/>
              </w:rPr>
              <w:t xml:space="preserve"> or police reports</w:t>
            </w:r>
            <w:r w:rsidR="00080E11" w:rsidRPr="00EC7A71">
              <w:rPr>
                <w:rFonts w:asciiTheme="minorHAnsi" w:hAnsiTheme="minorHAnsi" w:cstheme="minorHAnsi"/>
                <w:sz w:val="20"/>
                <w:szCs w:val="20"/>
              </w:rPr>
              <w:t xml:space="preserve">. </w:t>
            </w:r>
            <w:r w:rsidR="006941CF" w:rsidRPr="00EC7A71">
              <w:rPr>
                <w:rFonts w:asciiTheme="minorHAnsi" w:hAnsiTheme="minorHAnsi" w:cstheme="minorHAnsi"/>
                <w:sz w:val="20"/>
                <w:szCs w:val="20"/>
              </w:rPr>
              <w:t>P</w:t>
            </w:r>
            <w:r w:rsidR="006A06D6" w:rsidRPr="00EC7A71">
              <w:rPr>
                <w:rFonts w:asciiTheme="minorHAnsi" w:hAnsiTheme="minorHAnsi" w:cstheme="minorHAnsi"/>
                <w:sz w:val="20"/>
                <w:szCs w:val="20"/>
              </w:rPr>
              <w:t>oint</w:t>
            </w:r>
            <w:r w:rsidR="006941CF" w:rsidRPr="00EC7A71">
              <w:rPr>
                <w:rFonts w:asciiTheme="minorHAnsi" w:hAnsiTheme="minorHAnsi" w:cstheme="minorHAnsi"/>
                <w:sz w:val="20"/>
                <w:szCs w:val="20"/>
              </w:rPr>
              <w:t>ing</w:t>
            </w:r>
            <w:r w:rsidR="006A06D6" w:rsidRPr="00EC7A71">
              <w:rPr>
                <w:rFonts w:asciiTheme="minorHAnsi" w:hAnsiTheme="minorHAnsi" w:cstheme="minorHAnsi"/>
                <w:sz w:val="20"/>
                <w:szCs w:val="20"/>
              </w:rPr>
              <w:t xml:space="preserve"> to clear authority in legislation </w:t>
            </w:r>
            <w:r w:rsidR="00080E11" w:rsidRPr="00EC7A71">
              <w:rPr>
                <w:rFonts w:asciiTheme="minorHAnsi" w:hAnsiTheme="minorHAnsi" w:cstheme="minorHAnsi"/>
                <w:sz w:val="20"/>
                <w:szCs w:val="20"/>
              </w:rPr>
              <w:t xml:space="preserve">can facilitate compliance with </w:t>
            </w:r>
            <w:r w:rsidR="006A06D6" w:rsidRPr="00EC7A71">
              <w:rPr>
                <w:rFonts w:asciiTheme="minorHAnsi" w:hAnsiTheme="minorHAnsi" w:cstheme="minorHAnsi"/>
                <w:sz w:val="20"/>
                <w:szCs w:val="20"/>
              </w:rPr>
              <w:t xml:space="preserve">data </w:t>
            </w:r>
            <w:r w:rsidR="00080E11" w:rsidRPr="00EC7A71">
              <w:rPr>
                <w:rFonts w:asciiTheme="minorHAnsi" w:hAnsiTheme="minorHAnsi" w:cstheme="minorHAnsi"/>
                <w:sz w:val="20"/>
                <w:szCs w:val="20"/>
              </w:rPr>
              <w:t>request</w:t>
            </w:r>
            <w:r w:rsidR="00545B3D" w:rsidRPr="00EC7A71">
              <w:rPr>
                <w:rFonts w:asciiTheme="minorHAnsi" w:hAnsiTheme="minorHAnsi" w:cstheme="minorHAnsi"/>
                <w:sz w:val="20"/>
                <w:szCs w:val="20"/>
              </w:rPr>
              <w:t>s</w:t>
            </w:r>
            <w:r w:rsidR="00080E11" w:rsidRPr="00EC7A71">
              <w:rPr>
                <w:rFonts w:asciiTheme="minorHAnsi" w:hAnsiTheme="minorHAnsi" w:cstheme="minorHAnsi"/>
                <w:sz w:val="20"/>
                <w:szCs w:val="20"/>
              </w:rPr>
              <w:t>.</w:t>
            </w:r>
          </w:p>
        </w:tc>
        <w:tc>
          <w:tcPr>
            <w:tcW w:w="2834" w:type="pct"/>
          </w:tcPr>
          <w:p w14:paraId="6B09E52B" w14:textId="68548983" w:rsidR="00F8491D" w:rsidRPr="00ED3D95" w:rsidRDefault="00BE63AC" w:rsidP="002B77E6">
            <w:pPr>
              <w:autoSpaceDE w:val="0"/>
              <w:autoSpaceDN w:val="0"/>
              <w:adjustRightInd w:val="0"/>
              <w:rPr>
                <w:rFonts w:asciiTheme="minorHAnsi" w:hAnsiTheme="minorHAnsi" w:cstheme="minorHAnsi"/>
                <w:b/>
                <w:sz w:val="16"/>
                <w:szCs w:val="16"/>
              </w:rPr>
            </w:pPr>
            <w:hyperlink r:id="rId8" w:history="1">
              <w:r w:rsidR="00EC7A71" w:rsidRPr="00EC7A71">
                <w:rPr>
                  <w:rStyle w:val="Hyperlink"/>
                  <w:rFonts w:asciiTheme="minorHAnsi" w:hAnsiTheme="minorHAnsi" w:cstheme="minorHAnsi"/>
                  <w:sz w:val="16"/>
                  <w:szCs w:val="16"/>
                </w:rPr>
                <w:t>WASHINGTON</w:t>
              </w:r>
            </w:hyperlink>
            <w:r w:rsidR="002B77E6" w:rsidRPr="00ED3D95">
              <w:rPr>
                <w:rFonts w:asciiTheme="minorHAnsi" w:hAnsiTheme="minorHAnsi" w:cstheme="minorHAnsi"/>
                <w:b/>
                <w:sz w:val="16"/>
                <w:szCs w:val="16"/>
              </w:rPr>
              <w:t xml:space="preserve">: </w:t>
            </w:r>
          </w:p>
          <w:p w14:paraId="624456F1" w14:textId="2E1CCD37" w:rsidR="00EC7A71" w:rsidRPr="00EC7A71" w:rsidRDefault="00EC7A71" w:rsidP="00EC7A71">
            <w:pPr>
              <w:autoSpaceDE w:val="0"/>
              <w:autoSpaceDN w:val="0"/>
              <w:adjustRightInd w:val="0"/>
              <w:rPr>
                <w:rFonts w:asciiTheme="minorHAnsi" w:hAnsiTheme="minorHAnsi" w:cstheme="minorHAnsi"/>
                <w:i/>
                <w:sz w:val="16"/>
                <w:szCs w:val="16"/>
              </w:rPr>
            </w:pPr>
            <w:r w:rsidRPr="00EC7A71">
              <w:rPr>
                <w:rFonts w:asciiTheme="minorHAnsi" w:hAnsiTheme="minorHAnsi" w:cstheme="minorHAnsi"/>
                <w:i/>
                <w:sz w:val="16"/>
                <w:szCs w:val="16"/>
              </w:rPr>
              <w:t>(5) The department of health shall review department available data to identify maternal deaths. To aid in determining whether a maternal death was related to or aggravated by the pregnancy, and whether it was preventable, the department of health has the authority to:</w:t>
            </w:r>
            <w:r>
              <w:rPr>
                <w:rFonts w:asciiTheme="minorHAnsi" w:hAnsiTheme="minorHAnsi" w:cstheme="minorHAnsi"/>
                <w:i/>
                <w:sz w:val="16"/>
                <w:szCs w:val="16"/>
              </w:rPr>
              <w:t xml:space="preserve"> </w:t>
            </w:r>
            <w:r w:rsidRPr="00EC7A71">
              <w:rPr>
                <w:rFonts w:asciiTheme="minorHAnsi" w:hAnsiTheme="minorHAnsi" w:cstheme="minorHAnsi"/>
                <w:i/>
                <w:sz w:val="16"/>
                <w:szCs w:val="16"/>
              </w:rPr>
              <w:t>(a) Request and receive data for specific maternal deaths including, but not limited to, all medical records, autopsy reports, medical examiner reports, coroner reports, and social service records; and</w:t>
            </w:r>
            <w:r>
              <w:rPr>
                <w:rFonts w:asciiTheme="minorHAnsi" w:hAnsiTheme="minorHAnsi" w:cstheme="minorHAnsi"/>
                <w:i/>
                <w:sz w:val="16"/>
                <w:szCs w:val="16"/>
              </w:rPr>
              <w:t xml:space="preserve"> </w:t>
            </w:r>
            <w:r w:rsidRPr="00EC7A71">
              <w:rPr>
                <w:rFonts w:asciiTheme="minorHAnsi" w:hAnsiTheme="minorHAnsi" w:cstheme="minorHAnsi"/>
                <w:i/>
                <w:sz w:val="16"/>
                <w:szCs w:val="16"/>
              </w:rPr>
              <w:t>(b) Request and receive data as described in (a) of this subsection from health care providers, health care facilities, clinics, laboratories, medical examiners, coroners, professions and facilities licensed by the department of health, local health jurisdictions, the health care authority and its licensees and providers, and the department of social and health services and its licensees and providers.</w:t>
            </w:r>
          </w:p>
          <w:p w14:paraId="79B223A6" w14:textId="77777777" w:rsidR="00EC7A71" w:rsidRDefault="00EC7A71" w:rsidP="00EC7A71">
            <w:pPr>
              <w:autoSpaceDE w:val="0"/>
              <w:autoSpaceDN w:val="0"/>
              <w:adjustRightInd w:val="0"/>
              <w:rPr>
                <w:rFonts w:asciiTheme="minorHAnsi" w:hAnsiTheme="minorHAnsi" w:cstheme="minorHAnsi"/>
                <w:i/>
                <w:sz w:val="16"/>
                <w:szCs w:val="16"/>
              </w:rPr>
            </w:pPr>
            <w:r w:rsidRPr="00EC7A71">
              <w:rPr>
                <w:rFonts w:asciiTheme="minorHAnsi" w:hAnsiTheme="minorHAnsi" w:cstheme="minorHAnsi"/>
                <w:i/>
                <w:sz w:val="16"/>
                <w:szCs w:val="16"/>
              </w:rPr>
              <w:t>(6) Upon request by the department of health, health care providers, health care facilities, clinics, laboratories, medical examiners, coroners, professions and facilities licensed by the department of health, local health jurisdictions, the health care authority and its licensees and providers, and the department of social and health services and its licensees and providers must provide all medical records, autopsy reports, medical examiner reports, coroner reports, social services records, information and records related to sexually transmitted diseases, and other data requested for specific maternal deaths as provided for in subsection (5) of this section to the department.</w:t>
            </w:r>
          </w:p>
          <w:p w14:paraId="17C3102C" w14:textId="09B18118" w:rsidR="00EC7A71" w:rsidRPr="00ED3D95" w:rsidRDefault="00EC7A71" w:rsidP="00EC7A71">
            <w:pPr>
              <w:autoSpaceDE w:val="0"/>
              <w:autoSpaceDN w:val="0"/>
              <w:adjustRightInd w:val="0"/>
              <w:rPr>
                <w:sz w:val="16"/>
                <w:szCs w:val="16"/>
              </w:rPr>
            </w:pPr>
          </w:p>
        </w:tc>
      </w:tr>
      <w:tr w:rsidR="00372DD9" w:rsidRPr="0001134C" w14:paraId="7D472186" w14:textId="77777777" w:rsidTr="00EC601C">
        <w:tc>
          <w:tcPr>
            <w:tcW w:w="790" w:type="pct"/>
            <w:vAlign w:val="center"/>
          </w:tcPr>
          <w:p w14:paraId="6CE6453F" w14:textId="4C81F705" w:rsidR="00080E11" w:rsidRPr="0001134C" w:rsidRDefault="006A06D6" w:rsidP="00080E11">
            <w:pPr>
              <w:numPr>
                <w:ilvl w:val="0"/>
                <w:numId w:val="1"/>
              </w:numPr>
              <w:rPr>
                <w:rFonts w:asciiTheme="minorHAnsi" w:hAnsiTheme="minorHAnsi" w:cstheme="minorHAnsi"/>
                <w:sz w:val="22"/>
                <w:szCs w:val="22"/>
              </w:rPr>
            </w:pPr>
            <w:r>
              <w:rPr>
                <w:rFonts w:asciiTheme="minorHAnsi" w:hAnsiTheme="minorHAnsi" w:cstheme="minorHAnsi"/>
                <w:sz w:val="22"/>
                <w:szCs w:val="22"/>
              </w:rPr>
              <w:t>Confidentiality and p</w:t>
            </w:r>
            <w:r w:rsidR="00080E11" w:rsidRPr="0001134C">
              <w:rPr>
                <w:rFonts w:asciiTheme="minorHAnsi" w:hAnsiTheme="minorHAnsi" w:cstheme="minorHAnsi"/>
                <w:sz w:val="22"/>
                <w:szCs w:val="22"/>
              </w:rPr>
              <w:t>rotection of collected data</w:t>
            </w:r>
            <w:r>
              <w:rPr>
                <w:rFonts w:asciiTheme="minorHAnsi" w:hAnsiTheme="minorHAnsi" w:cstheme="minorHAnsi"/>
                <w:sz w:val="22"/>
                <w:szCs w:val="22"/>
              </w:rPr>
              <w:t>, proceedings, and activities</w:t>
            </w:r>
          </w:p>
        </w:tc>
        <w:tc>
          <w:tcPr>
            <w:tcW w:w="1376" w:type="pct"/>
            <w:vAlign w:val="center"/>
          </w:tcPr>
          <w:p w14:paraId="58FB7CC5" w14:textId="29A9EDD3" w:rsidR="00080E11" w:rsidRPr="00EC7A71" w:rsidRDefault="00080E11" w:rsidP="001531DE">
            <w:pPr>
              <w:rPr>
                <w:rFonts w:asciiTheme="minorHAnsi" w:hAnsiTheme="minorHAnsi" w:cstheme="minorHAnsi"/>
                <w:sz w:val="20"/>
                <w:szCs w:val="20"/>
              </w:rPr>
            </w:pPr>
            <w:r w:rsidRPr="00EC7A71">
              <w:rPr>
                <w:rFonts w:asciiTheme="minorHAnsi" w:hAnsiTheme="minorHAnsi" w:cstheme="minorHAnsi"/>
                <w:sz w:val="20"/>
                <w:szCs w:val="20"/>
              </w:rPr>
              <w:t>Confidentiality</w:t>
            </w:r>
            <w:r w:rsidR="006A06D6" w:rsidRPr="00EC7A71">
              <w:rPr>
                <w:rFonts w:asciiTheme="minorHAnsi" w:hAnsiTheme="minorHAnsi" w:cstheme="minorHAnsi"/>
                <w:sz w:val="20"/>
                <w:szCs w:val="20"/>
              </w:rPr>
              <w:t xml:space="preserve"> for MMRCs refers to </w:t>
            </w:r>
            <w:r w:rsidR="00684E3B" w:rsidRPr="00EC7A71">
              <w:rPr>
                <w:rFonts w:asciiTheme="minorHAnsi" w:hAnsiTheme="minorHAnsi" w:cstheme="minorHAnsi"/>
                <w:sz w:val="20"/>
                <w:szCs w:val="20"/>
              </w:rPr>
              <w:t>the legal protection of</w:t>
            </w:r>
            <w:r w:rsidRPr="00EC7A71">
              <w:rPr>
                <w:rFonts w:asciiTheme="minorHAnsi" w:hAnsiTheme="minorHAnsi" w:cstheme="minorHAnsi"/>
                <w:sz w:val="20"/>
                <w:szCs w:val="20"/>
              </w:rPr>
              <w:t xml:space="preserve"> information collected as part of the review process </w:t>
            </w:r>
            <w:r w:rsidR="00972951" w:rsidRPr="00EC7A71">
              <w:rPr>
                <w:rFonts w:asciiTheme="minorHAnsi" w:hAnsiTheme="minorHAnsi" w:cstheme="minorHAnsi"/>
                <w:sz w:val="20"/>
                <w:szCs w:val="20"/>
              </w:rPr>
              <w:t xml:space="preserve">and the protection of the MMRC’s discussions and findings from discovery or subpoena.   </w:t>
            </w:r>
            <w:r w:rsidR="006A06D6" w:rsidRPr="00EC7A71">
              <w:rPr>
                <w:rFonts w:asciiTheme="minorHAnsi" w:hAnsiTheme="minorHAnsi" w:cstheme="minorHAnsi"/>
                <w:sz w:val="20"/>
                <w:szCs w:val="20"/>
              </w:rPr>
              <w:t>Strong</w:t>
            </w:r>
            <w:r w:rsidR="00972951" w:rsidRPr="00EC7A71">
              <w:rPr>
                <w:rFonts w:asciiTheme="minorHAnsi" w:hAnsiTheme="minorHAnsi" w:cstheme="minorHAnsi"/>
                <w:sz w:val="20"/>
                <w:szCs w:val="20"/>
              </w:rPr>
              <w:t xml:space="preserve"> confidentiality</w:t>
            </w:r>
            <w:r w:rsidR="006A06D6" w:rsidRPr="00EC7A71">
              <w:rPr>
                <w:rFonts w:asciiTheme="minorHAnsi" w:hAnsiTheme="minorHAnsi" w:cstheme="minorHAnsi"/>
                <w:sz w:val="20"/>
                <w:szCs w:val="20"/>
              </w:rPr>
              <w:t xml:space="preserve"> protections</w:t>
            </w:r>
            <w:r w:rsidRPr="00EC7A71">
              <w:rPr>
                <w:rFonts w:asciiTheme="minorHAnsi" w:hAnsiTheme="minorHAnsi" w:cstheme="minorHAnsi"/>
                <w:sz w:val="20"/>
                <w:szCs w:val="20"/>
              </w:rPr>
              <w:t xml:space="preserve"> can </w:t>
            </w:r>
            <w:r w:rsidR="00972951" w:rsidRPr="00EC7A71">
              <w:rPr>
                <w:rFonts w:asciiTheme="minorHAnsi" w:hAnsiTheme="minorHAnsi" w:cstheme="minorHAnsi"/>
                <w:sz w:val="20"/>
                <w:szCs w:val="20"/>
              </w:rPr>
              <w:t>facilitate participation in reviews and the</w:t>
            </w:r>
            <w:r w:rsidR="006A06D6" w:rsidRPr="00EC7A71">
              <w:rPr>
                <w:rFonts w:asciiTheme="minorHAnsi" w:hAnsiTheme="minorHAnsi" w:cstheme="minorHAnsi"/>
                <w:sz w:val="20"/>
                <w:szCs w:val="20"/>
              </w:rPr>
              <w:t xml:space="preserve"> </w:t>
            </w:r>
            <w:r w:rsidRPr="00EC7A71">
              <w:rPr>
                <w:rFonts w:asciiTheme="minorHAnsi" w:hAnsiTheme="minorHAnsi" w:cstheme="minorHAnsi"/>
                <w:sz w:val="20"/>
                <w:szCs w:val="20"/>
              </w:rPr>
              <w:t xml:space="preserve">sharing </w:t>
            </w:r>
            <w:r w:rsidR="00972951" w:rsidRPr="00EC7A71">
              <w:rPr>
                <w:rFonts w:asciiTheme="minorHAnsi" w:hAnsiTheme="minorHAnsi" w:cstheme="minorHAnsi"/>
                <w:sz w:val="20"/>
                <w:szCs w:val="20"/>
              </w:rPr>
              <w:t xml:space="preserve">of </w:t>
            </w:r>
            <w:r w:rsidR="00951B5F" w:rsidRPr="00EC7A71">
              <w:rPr>
                <w:rFonts w:asciiTheme="minorHAnsi" w:hAnsiTheme="minorHAnsi" w:cstheme="minorHAnsi"/>
                <w:sz w:val="20"/>
                <w:szCs w:val="20"/>
              </w:rPr>
              <w:t>data and information</w:t>
            </w:r>
            <w:r w:rsidRPr="00EC7A71">
              <w:rPr>
                <w:rFonts w:asciiTheme="minorHAnsi" w:hAnsiTheme="minorHAnsi" w:cstheme="minorHAnsi"/>
                <w:sz w:val="20"/>
                <w:szCs w:val="20"/>
              </w:rPr>
              <w:t>.</w:t>
            </w:r>
          </w:p>
        </w:tc>
        <w:tc>
          <w:tcPr>
            <w:tcW w:w="2834" w:type="pct"/>
          </w:tcPr>
          <w:p w14:paraId="42EE6736" w14:textId="77777777" w:rsidR="00080E11" w:rsidRPr="00ED3D95" w:rsidRDefault="00BE63AC" w:rsidP="00A30D7E">
            <w:pPr>
              <w:rPr>
                <w:rFonts w:asciiTheme="minorHAnsi" w:hAnsiTheme="minorHAnsi" w:cstheme="minorHAnsi"/>
                <w:b/>
                <w:sz w:val="16"/>
                <w:szCs w:val="16"/>
              </w:rPr>
            </w:pPr>
            <w:hyperlink r:id="rId9" w:history="1">
              <w:r w:rsidR="00F8491D" w:rsidRPr="00ED3D95">
                <w:rPr>
                  <w:rStyle w:val="Hyperlink"/>
                  <w:rFonts w:asciiTheme="minorHAnsi" w:hAnsiTheme="minorHAnsi" w:cstheme="minorHAnsi"/>
                  <w:sz w:val="16"/>
                  <w:szCs w:val="16"/>
                </w:rPr>
                <w:t>GEORGIA</w:t>
              </w:r>
            </w:hyperlink>
            <w:r w:rsidR="00F8491D" w:rsidRPr="00ED3D95">
              <w:rPr>
                <w:rFonts w:asciiTheme="minorHAnsi" w:hAnsiTheme="minorHAnsi" w:cstheme="minorHAnsi"/>
                <w:b/>
                <w:sz w:val="16"/>
                <w:szCs w:val="16"/>
              </w:rPr>
              <w:t xml:space="preserve">: </w:t>
            </w:r>
          </w:p>
          <w:p w14:paraId="4EFA4DB2" w14:textId="77777777" w:rsidR="00F8491D" w:rsidRPr="00ED3D95" w:rsidRDefault="00A512F4" w:rsidP="00F8491D">
            <w:pPr>
              <w:rPr>
                <w:rFonts w:asciiTheme="minorHAnsi" w:hAnsiTheme="minorHAnsi" w:cstheme="minorHAnsi"/>
                <w:i/>
                <w:sz w:val="16"/>
                <w:szCs w:val="16"/>
              </w:rPr>
            </w:pPr>
            <w:r w:rsidRPr="00ED3D95">
              <w:rPr>
                <w:rFonts w:asciiTheme="minorHAnsi" w:hAnsiTheme="minorHAnsi" w:cstheme="minorHAnsi"/>
                <w:i/>
                <w:sz w:val="16"/>
                <w:szCs w:val="16"/>
              </w:rPr>
              <w:t xml:space="preserve"> </w:t>
            </w:r>
            <w:r w:rsidR="00F8491D" w:rsidRPr="00ED3D95">
              <w:rPr>
                <w:rFonts w:asciiTheme="minorHAnsi" w:hAnsiTheme="minorHAnsi" w:cstheme="minorHAnsi"/>
                <w:i/>
                <w:sz w:val="16"/>
                <w:szCs w:val="16"/>
              </w:rPr>
              <w:t>(e)(1) Information, records, reports, statements, notes, memoranda, or other data collected pursuant to this Code section shall not be admissible as evidence in any action of any kind in any court or before any other tribunal, board, agency, or person. Such information, records, reports, statements, notes, memoranda, or other data shall not be exhibited nor their contents disclosed in any way, in whole or in part, by any officer or representative of the department or any other person, except as may be necessary for the purpose of furthering the review of the committee of the case to which they relate. No person participating in such review shall disclose, in any manner, the information so obtained except in strict conformity with such review project.</w:t>
            </w:r>
          </w:p>
          <w:p w14:paraId="2001B9F1" w14:textId="7AAC22B2" w:rsidR="00A512F4" w:rsidRPr="00ED3D95" w:rsidRDefault="00F8491D" w:rsidP="00EC7A71">
            <w:pPr>
              <w:rPr>
                <w:rFonts w:asciiTheme="minorHAnsi" w:hAnsiTheme="minorHAnsi" w:cstheme="minorHAnsi"/>
                <w:i/>
                <w:sz w:val="16"/>
                <w:szCs w:val="16"/>
              </w:rPr>
            </w:pPr>
            <w:r w:rsidRPr="00ED3D95">
              <w:rPr>
                <w:rFonts w:asciiTheme="minorHAnsi" w:hAnsiTheme="minorHAnsi" w:cstheme="minorHAnsi"/>
                <w:i/>
                <w:sz w:val="16"/>
                <w:szCs w:val="16"/>
              </w:rPr>
              <w:t>(2) All information, records of interviews, written reports, statements, notes, memoranda, or other data obtained by the department, the committee, and other persons, agencies, or organizations so authorized by the department pursuant to this Code section shall be confidential.</w:t>
            </w:r>
            <w:r w:rsidR="00EC7A71">
              <w:rPr>
                <w:rFonts w:asciiTheme="minorHAnsi" w:hAnsiTheme="minorHAnsi" w:cstheme="minorHAnsi"/>
                <w:i/>
                <w:sz w:val="16"/>
                <w:szCs w:val="16"/>
              </w:rPr>
              <w:t xml:space="preserve"> </w:t>
            </w:r>
            <w:r w:rsidR="0027008E" w:rsidRPr="00ED3D95">
              <w:rPr>
                <w:rFonts w:asciiTheme="minorHAnsi" w:hAnsiTheme="minorHAnsi" w:cstheme="minorHAnsi"/>
                <w:i/>
                <w:sz w:val="16"/>
                <w:szCs w:val="16"/>
              </w:rPr>
              <w:t>(f)(1) All proceedings and activities of the committee under this Code section, opinions of members of such committee formed as a result of such proceedings and activities, and records obtained, created, or maintained pursuant to this Code section, including records of interviews, written reports, and statements procured by the department or any other person, agency, or organization acting jointly or under contract with the department in connection with the requirements of this Code section, shall be confidential and shall not be subject to Chapter 14 of Title 50, relating to open meetings, or Article 4 of Chapter 18 of Title 50, relating to open records, or subject to subpoena, discovery, or introduction into evidence in any civil or criminal proceeding; provided, however, that nothing in this Code section shall be construed to limit or restrict the right to discover or use in any civil or criminal proceeding anything that is available from another source and entirely independent of the committee's proceedings.</w:t>
            </w:r>
          </w:p>
        </w:tc>
      </w:tr>
    </w:tbl>
    <w:p w14:paraId="2CDDFCC1" w14:textId="77777777" w:rsidR="001531DE" w:rsidRDefault="001531DE"/>
    <w:tbl>
      <w:tblPr>
        <w:tblStyle w:val="TableGrid"/>
        <w:tblW w:w="0" w:type="auto"/>
        <w:tblLook w:val="04A0" w:firstRow="1" w:lastRow="0" w:firstColumn="1" w:lastColumn="0" w:noHBand="0" w:noVBand="1"/>
      </w:tblPr>
      <w:tblGrid>
        <w:gridCol w:w="2064"/>
        <w:gridCol w:w="2611"/>
        <w:gridCol w:w="6115"/>
      </w:tblGrid>
      <w:tr w:rsidR="001531DE" w:rsidRPr="0001134C" w14:paraId="2E31E85A" w14:textId="77777777" w:rsidTr="00372DD9">
        <w:tc>
          <w:tcPr>
            <w:tcW w:w="2064" w:type="dxa"/>
          </w:tcPr>
          <w:p w14:paraId="5B364151" w14:textId="2DFD41ED" w:rsidR="001531DE" w:rsidRPr="0001134C" w:rsidRDefault="00ED3D95" w:rsidP="001531DE">
            <w:pPr>
              <w:jc w:val="center"/>
              <w:rPr>
                <w:rFonts w:asciiTheme="minorHAnsi" w:hAnsiTheme="minorHAnsi" w:cstheme="minorHAnsi"/>
                <w:b/>
                <w:sz w:val="22"/>
                <w:szCs w:val="22"/>
              </w:rPr>
            </w:pPr>
            <w:r>
              <w:br w:type="page"/>
            </w:r>
            <w:r w:rsidR="001531DE" w:rsidRPr="0001134C">
              <w:rPr>
                <w:rFonts w:asciiTheme="minorHAnsi" w:hAnsiTheme="minorHAnsi" w:cstheme="minorHAnsi"/>
                <w:b/>
                <w:sz w:val="22"/>
                <w:szCs w:val="22"/>
              </w:rPr>
              <w:t>Component</w:t>
            </w:r>
          </w:p>
        </w:tc>
        <w:tc>
          <w:tcPr>
            <w:tcW w:w="2611" w:type="dxa"/>
          </w:tcPr>
          <w:p w14:paraId="4B74AC06" w14:textId="1C093A34" w:rsidR="001531DE" w:rsidRPr="0001134C" w:rsidRDefault="001531DE" w:rsidP="001531DE">
            <w:pPr>
              <w:jc w:val="center"/>
              <w:rPr>
                <w:rFonts w:asciiTheme="minorHAnsi" w:hAnsiTheme="minorHAnsi" w:cstheme="minorHAnsi"/>
                <w:b/>
                <w:sz w:val="22"/>
                <w:szCs w:val="22"/>
              </w:rPr>
            </w:pPr>
            <w:r w:rsidRPr="0001134C">
              <w:rPr>
                <w:rFonts w:asciiTheme="minorHAnsi" w:hAnsiTheme="minorHAnsi" w:cstheme="minorHAnsi"/>
                <w:b/>
                <w:sz w:val="22"/>
                <w:szCs w:val="22"/>
              </w:rPr>
              <w:t>Rationale</w:t>
            </w:r>
            <w:r w:rsidR="003B73C4">
              <w:rPr>
                <w:rFonts w:asciiTheme="minorHAnsi" w:hAnsiTheme="minorHAnsi" w:cstheme="minorHAnsi"/>
                <w:b/>
                <w:sz w:val="22"/>
                <w:szCs w:val="22"/>
              </w:rPr>
              <w:t xml:space="preserve"> and Objective</w:t>
            </w:r>
          </w:p>
        </w:tc>
        <w:tc>
          <w:tcPr>
            <w:tcW w:w="6115" w:type="dxa"/>
          </w:tcPr>
          <w:p w14:paraId="55F835B9" w14:textId="7E27BCC1" w:rsidR="001531DE" w:rsidRPr="0001134C" w:rsidRDefault="001531DE">
            <w:pPr>
              <w:jc w:val="center"/>
              <w:rPr>
                <w:rFonts w:asciiTheme="minorHAnsi" w:hAnsiTheme="minorHAnsi" w:cstheme="minorHAnsi"/>
                <w:b/>
                <w:sz w:val="22"/>
                <w:szCs w:val="22"/>
              </w:rPr>
            </w:pPr>
            <w:r w:rsidRPr="0001134C">
              <w:rPr>
                <w:rFonts w:asciiTheme="minorHAnsi" w:hAnsiTheme="minorHAnsi" w:cstheme="minorHAnsi"/>
                <w:b/>
                <w:sz w:val="22"/>
                <w:szCs w:val="22"/>
              </w:rPr>
              <w:t xml:space="preserve">Example </w:t>
            </w:r>
          </w:p>
        </w:tc>
      </w:tr>
      <w:tr w:rsidR="001531DE" w:rsidRPr="0001134C" w14:paraId="489B2855" w14:textId="77777777" w:rsidTr="00372DD9">
        <w:tc>
          <w:tcPr>
            <w:tcW w:w="2064" w:type="dxa"/>
            <w:vAlign w:val="center"/>
          </w:tcPr>
          <w:p w14:paraId="4BAB9EFC" w14:textId="77777777" w:rsidR="001531DE" w:rsidRPr="0001134C" w:rsidRDefault="001531DE" w:rsidP="001531DE">
            <w:pPr>
              <w:numPr>
                <w:ilvl w:val="0"/>
                <w:numId w:val="1"/>
              </w:numPr>
              <w:rPr>
                <w:rFonts w:asciiTheme="minorHAnsi" w:hAnsiTheme="minorHAnsi" w:cstheme="minorHAnsi"/>
                <w:sz w:val="22"/>
                <w:szCs w:val="22"/>
              </w:rPr>
            </w:pPr>
            <w:r w:rsidRPr="0001134C">
              <w:rPr>
                <w:rFonts w:asciiTheme="minorHAnsi" w:hAnsiTheme="minorHAnsi" w:cstheme="minorHAnsi"/>
                <w:sz w:val="22"/>
                <w:szCs w:val="22"/>
              </w:rPr>
              <w:t xml:space="preserve">Immunity for committee members </w:t>
            </w:r>
          </w:p>
        </w:tc>
        <w:tc>
          <w:tcPr>
            <w:tcW w:w="2611" w:type="dxa"/>
            <w:vAlign w:val="center"/>
          </w:tcPr>
          <w:p w14:paraId="11FEFEAB" w14:textId="0E95C1D1" w:rsidR="001531DE" w:rsidRPr="00EC7A71" w:rsidRDefault="001531DE" w:rsidP="001531DE">
            <w:pPr>
              <w:rPr>
                <w:rFonts w:asciiTheme="minorHAnsi" w:hAnsiTheme="minorHAnsi" w:cstheme="minorHAnsi"/>
                <w:sz w:val="20"/>
                <w:szCs w:val="20"/>
              </w:rPr>
            </w:pPr>
            <w:r w:rsidRPr="00EC7A71">
              <w:rPr>
                <w:rFonts w:asciiTheme="minorHAnsi" w:hAnsiTheme="minorHAnsi" w:cstheme="minorHAnsi"/>
                <w:sz w:val="20"/>
                <w:szCs w:val="20"/>
              </w:rPr>
              <w:t xml:space="preserve">Immunity protects MMRC members as well as any witnesses or others </w:t>
            </w:r>
            <w:r w:rsidRPr="00EC7A71">
              <w:rPr>
                <w:rFonts w:asciiTheme="minorHAnsi" w:hAnsiTheme="minorHAnsi" w:cstheme="minorHAnsi"/>
                <w:sz w:val="20"/>
                <w:szCs w:val="20"/>
              </w:rPr>
              <w:lastRenderedPageBreak/>
              <w:t>providing information from personal liability based on activities during the review process.</w:t>
            </w:r>
            <w:r w:rsidR="00951B5F" w:rsidRPr="00EC7A71">
              <w:rPr>
                <w:rFonts w:asciiTheme="minorHAnsi" w:hAnsiTheme="minorHAnsi" w:cstheme="minorHAnsi"/>
                <w:sz w:val="20"/>
                <w:szCs w:val="20"/>
              </w:rPr>
              <w:t xml:space="preserve"> Immunity </w:t>
            </w:r>
            <w:r w:rsidR="00972951" w:rsidRPr="00EC7A71">
              <w:rPr>
                <w:rFonts w:asciiTheme="minorHAnsi" w:hAnsiTheme="minorHAnsi" w:cstheme="minorHAnsi"/>
                <w:sz w:val="20"/>
                <w:szCs w:val="20"/>
              </w:rPr>
              <w:t>facilitates</w:t>
            </w:r>
            <w:r w:rsidR="00951B5F" w:rsidRPr="00EC7A71">
              <w:rPr>
                <w:rFonts w:asciiTheme="minorHAnsi" w:hAnsiTheme="minorHAnsi" w:cstheme="minorHAnsi"/>
                <w:sz w:val="20"/>
                <w:szCs w:val="20"/>
              </w:rPr>
              <w:t xml:space="preserve"> full participation in the review process.</w:t>
            </w:r>
          </w:p>
        </w:tc>
        <w:tc>
          <w:tcPr>
            <w:tcW w:w="6115" w:type="dxa"/>
          </w:tcPr>
          <w:p w14:paraId="7E7CA6C8" w14:textId="77777777" w:rsidR="00A512F4" w:rsidRPr="00ED3D95" w:rsidRDefault="00BE63AC" w:rsidP="001531DE">
            <w:pPr>
              <w:rPr>
                <w:rFonts w:asciiTheme="minorHAnsi" w:hAnsiTheme="minorHAnsi" w:cstheme="minorHAnsi"/>
                <w:b/>
                <w:sz w:val="16"/>
                <w:szCs w:val="16"/>
              </w:rPr>
            </w:pPr>
            <w:hyperlink r:id="rId10" w:history="1">
              <w:r w:rsidR="001531DE" w:rsidRPr="00ED3D95">
                <w:rPr>
                  <w:rStyle w:val="Hyperlink"/>
                  <w:rFonts w:asciiTheme="minorHAnsi" w:hAnsiTheme="minorHAnsi" w:cstheme="minorHAnsi"/>
                  <w:sz w:val="16"/>
                  <w:szCs w:val="16"/>
                </w:rPr>
                <w:t>GEORGIA</w:t>
              </w:r>
            </w:hyperlink>
            <w:r w:rsidR="001531DE" w:rsidRPr="00ED3D95">
              <w:rPr>
                <w:rFonts w:asciiTheme="minorHAnsi" w:hAnsiTheme="minorHAnsi" w:cstheme="minorHAnsi"/>
                <w:b/>
                <w:sz w:val="16"/>
                <w:szCs w:val="16"/>
              </w:rPr>
              <w:t xml:space="preserve">: </w:t>
            </w:r>
          </w:p>
          <w:p w14:paraId="0F173D7F" w14:textId="77777777" w:rsidR="00A512F4" w:rsidRPr="00ED3D95" w:rsidRDefault="00A512F4" w:rsidP="001531DE">
            <w:pPr>
              <w:rPr>
                <w:rFonts w:asciiTheme="minorHAnsi" w:hAnsiTheme="minorHAnsi" w:cstheme="minorHAnsi"/>
                <w:i/>
                <w:sz w:val="16"/>
                <w:szCs w:val="16"/>
              </w:rPr>
            </w:pPr>
            <w:r w:rsidRPr="00ED3D95">
              <w:rPr>
                <w:rFonts w:asciiTheme="minorHAnsi" w:hAnsiTheme="minorHAnsi" w:cstheme="minorHAnsi"/>
                <w:i/>
                <w:sz w:val="16"/>
                <w:szCs w:val="16"/>
              </w:rPr>
              <w:t>(2) A health care provider, health care facility, or pharmacy providing access to medical records pursuant to this Code section shall not be held liable for civil damages or be subject to any criminal or disciplinary action for good faith efforts in providing such records.</w:t>
            </w:r>
          </w:p>
          <w:p w14:paraId="099EE7EA" w14:textId="77777777" w:rsidR="001531DE" w:rsidRPr="00ED3D95" w:rsidRDefault="0027008E" w:rsidP="001531DE">
            <w:pPr>
              <w:rPr>
                <w:rFonts w:asciiTheme="minorHAnsi" w:hAnsiTheme="minorHAnsi" w:cstheme="minorHAnsi"/>
                <w:i/>
                <w:sz w:val="16"/>
                <w:szCs w:val="16"/>
              </w:rPr>
            </w:pPr>
            <w:r w:rsidRPr="00ED3D95">
              <w:rPr>
                <w:rFonts w:asciiTheme="minorHAnsi" w:hAnsiTheme="minorHAnsi" w:cstheme="minorHAnsi"/>
                <w:i/>
                <w:sz w:val="16"/>
                <w:szCs w:val="16"/>
              </w:rPr>
              <w:lastRenderedPageBreak/>
              <w:t xml:space="preserve"> </w:t>
            </w:r>
            <w:r w:rsidR="001531DE" w:rsidRPr="00ED3D95">
              <w:rPr>
                <w:rFonts w:asciiTheme="minorHAnsi" w:hAnsiTheme="minorHAnsi" w:cstheme="minorHAnsi"/>
                <w:i/>
                <w:sz w:val="16"/>
                <w:szCs w:val="16"/>
              </w:rPr>
              <w:t>(2) Members of the committee shall not be questioned in any civil or criminal proceeding regarding the information presented in or opinions formed as a result of a meeting or communication of the committee; provided, however, that nothing in this Code section shall be construed to prevent a member of the committee from testifying to information obtained independently of the committee or which is public information.</w:t>
            </w:r>
          </w:p>
          <w:p w14:paraId="3033A705" w14:textId="77777777" w:rsidR="00A512F4" w:rsidRPr="00ED3D95" w:rsidRDefault="00A512F4" w:rsidP="001531DE">
            <w:pPr>
              <w:rPr>
                <w:rFonts w:asciiTheme="minorHAnsi" w:hAnsiTheme="minorHAnsi" w:cstheme="minorHAnsi"/>
                <w:sz w:val="16"/>
                <w:szCs w:val="16"/>
              </w:rPr>
            </w:pPr>
          </w:p>
        </w:tc>
      </w:tr>
      <w:tr w:rsidR="001531DE" w:rsidRPr="0001134C" w14:paraId="06B719E8" w14:textId="77777777" w:rsidTr="00372DD9">
        <w:tc>
          <w:tcPr>
            <w:tcW w:w="2064" w:type="dxa"/>
            <w:vAlign w:val="center"/>
          </w:tcPr>
          <w:p w14:paraId="03672398" w14:textId="38BC0033" w:rsidR="001531DE" w:rsidRPr="0001134C" w:rsidRDefault="005663D7" w:rsidP="001531DE">
            <w:pPr>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R</w:t>
            </w:r>
            <w:r w:rsidR="001531DE" w:rsidRPr="0001134C">
              <w:rPr>
                <w:rFonts w:asciiTheme="minorHAnsi" w:hAnsiTheme="minorHAnsi" w:cstheme="minorHAnsi"/>
                <w:sz w:val="22"/>
                <w:szCs w:val="22"/>
              </w:rPr>
              <w:t>egular reporting</w:t>
            </w:r>
            <w:r w:rsidR="00951B5F">
              <w:rPr>
                <w:rFonts w:asciiTheme="minorHAnsi" w:hAnsiTheme="minorHAnsi" w:cstheme="minorHAnsi"/>
                <w:sz w:val="22"/>
                <w:szCs w:val="22"/>
              </w:rPr>
              <w:t xml:space="preserve"> and dissemination of findings</w:t>
            </w:r>
          </w:p>
        </w:tc>
        <w:tc>
          <w:tcPr>
            <w:tcW w:w="2611" w:type="dxa"/>
            <w:vAlign w:val="center"/>
          </w:tcPr>
          <w:p w14:paraId="26CD221C" w14:textId="229DD5D8" w:rsidR="001531DE" w:rsidRPr="00EC7A71" w:rsidRDefault="001531DE" w:rsidP="001531DE">
            <w:pPr>
              <w:rPr>
                <w:rFonts w:asciiTheme="minorHAnsi" w:hAnsiTheme="minorHAnsi" w:cstheme="minorHAnsi"/>
                <w:sz w:val="20"/>
                <w:szCs w:val="20"/>
              </w:rPr>
            </w:pPr>
            <w:r w:rsidRPr="00EC7A71">
              <w:rPr>
                <w:rFonts w:asciiTheme="minorHAnsi" w:hAnsiTheme="minorHAnsi" w:cstheme="minorHAnsi"/>
                <w:sz w:val="20"/>
                <w:szCs w:val="20"/>
              </w:rPr>
              <w:t>Specifying how often and to whom/</w:t>
            </w:r>
            <w:r w:rsidR="0049764D" w:rsidRPr="00EC7A71">
              <w:rPr>
                <w:rFonts w:asciiTheme="minorHAnsi" w:hAnsiTheme="minorHAnsi" w:cstheme="minorHAnsi"/>
                <w:sz w:val="20"/>
                <w:szCs w:val="20"/>
              </w:rPr>
              <w:t>to what entity</w:t>
            </w:r>
            <w:r w:rsidRPr="00EC7A71">
              <w:rPr>
                <w:rFonts w:asciiTheme="minorHAnsi" w:hAnsiTheme="minorHAnsi" w:cstheme="minorHAnsi"/>
                <w:sz w:val="20"/>
                <w:szCs w:val="20"/>
              </w:rPr>
              <w:t xml:space="preserve"> the MMRC will report </w:t>
            </w:r>
            <w:r w:rsidR="00972951" w:rsidRPr="00EC7A71">
              <w:rPr>
                <w:rFonts w:asciiTheme="minorHAnsi" w:hAnsiTheme="minorHAnsi" w:cstheme="minorHAnsi"/>
                <w:sz w:val="20"/>
                <w:szCs w:val="20"/>
              </w:rPr>
              <w:t xml:space="preserve">its findings and recommendations helps keep MMRC as a public health priority for the state and facilitates dissemination of best practices.  </w:t>
            </w:r>
          </w:p>
        </w:tc>
        <w:tc>
          <w:tcPr>
            <w:tcW w:w="6115" w:type="dxa"/>
          </w:tcPr>
          <w:p w14:paraId="26A2663D" w14:textId="77777777" w:rsidR="001531DE" w:rsidRPr="00ED3D95" w:rsidRDefault="00BE63AC" w:rsidP="001531DE">
            <w:pPr>
              <w:rPr>
                <w:rFonts w:asciiTheme="minorHAnsi" w:hAnsiTheme="minorHAnsi" w:cstheme="minorHAnsi"/>
                <w:i/>
                <w:sz w:val="16"/>
                <w:szCs w:val="16"/>
              </w:rPr>
            </w:pPr>
            <w:hyperlink r:id="rId11" w:history="1">
              <w:r w:rsidR="001531DE" w:rsidRPr="00ED3D95">
                <w:rPr>
                  <w:rStyle w:val="Hyperlink"/>
                  <w:rFonts w:asciiTheme="minorHAnsi" w:hAnsiTheme="minorHAnsi" w:cstheme="minorHAnsi"/>
                  <w:sz w:val="16"/>
                  <w:szCs w:val="16"/>
                </w:rPr>
                <w:t>GEORGIA</w:t>
              </w:r>
            </w:hyperlink>
            <w:r w:rsidR="001531DE" w:rsidRPr="00ED3D95">
              <w:rPr>
                <w:rFonts w:asciiTheme="minorHAnsi" w:hAnsiTheme="minorHAnsi" w:cstheme="minorHAnsi"/>
                <w:b/>
                <w:sz w:val="16"/>
                <w:szCs w:val="16"/>
              </w:rPr>
              <w:t>:</w:t>
            </w:r>
            <w:r w:rsidR="001531DE" w:rsidRPr="00ED3D95">
              <w:rPr>
                <w:rFonts w:asciiTheme="minorHAnsi" w:hAnsiTheme="minorHAnsi" w:cstheme="minorHAnsi"/>
                <w:sz w:val="16"/>
                <w:szCs w:val="16"/>
              </w:rPr>
              <w:t xml:space="preserve">  </w:t>
            </w:r>
          </w:p>
          <w:p w14:paraId="6A0A49F1" w14:textId="6994C077" w:rsidR="001531DE" w:rsidRDefault="001531DE" w:rsidP="001531DE">
            <w:pPr>
              <w:rPr>
                <w:rFonts w:asciiTheme="minorHAnsi" w:hAnsiTheme="minorHAnsi" w:cstheme="minorHAnsi"/>
                <w:i/>
                <w:sz w:val="16"/>
                <w:szCs w:val="16"/>
              </w:rPr>
            </w:pPr>
            <w:r w:rsidRPr="00ED3D95">
              <w:rPr>
                <w:rFonts w:asciiTheme="minorHAnsi" w:hAnsiTheme="minorHAnsi" w:cstheme="minorHAnsi"/>
                <w:i/>
                <w:sz w:val="16"/>
                <w:szCs w:val="16"/>
              </w:rPr>
              <w:t>(g) Reports of aggregated non-individually identifiable data shall be compiled on a routine basis for distribution in an effort to further study the causes and problems associated with maternal deaths. Reports shall be distributed to the General Assembly, health care providers and facilities, key government agencies, and others necessary to reduce the maternal death rate.</w:t>
            </w:r>
          </w:p>
          <w:p w14:paraId="0AA87F55" w14:textId="77777777" w:rsidR="00CC1F81" w:rsidRDefault="00CC1F81" w:rsidP="001531DE">
            <w:pPr>
              <w:rPr>
                <w:rFonts w:asciiTheme="minorHAnsi" w:hAnsiTheme="minorHAnsi" w:cstheme="minorHAnsi"/>
                <w:i/>
                <w:sz w:val="16"/>
                <w:szCs w:val="16"/>
              </w:rPr>
            </w:pPr>
          </w:p>
          <w:p w14:paraId="3F38F260" w14:textId="28874FBA" w:rsidR="00CC1F81" w:rsidRPr="00ED3D95" w:rsidRDefault="00CC1F81" w:rsidP="00981FB1">
            <w:pPr>
              <w:rPr>
                <w:rFonts w:asciiTheme="minorHAnsi" w:hAnsiTheme="minorHAnsi" w:cstheme="minorHAnsi"/>
                <w:sz w:val="16"/>
                <w:szCs w:val="16"/>
              </w:rPr>
            </w:pPr>
          </w:p>
        </w:tc>
      </w:tr>
      <w:tr w:rsidR="001531DE" w:rsidRPr="0001134C" w14:paraId="5187D876" w14:textId="77777777" w:rsidTr="00372DD9">
        <w:tc>
          <w:tcPr>
            <w:tcW w:w="2064" w:type="dxa"/>
            <w:vAlign w:val="center"/>
          </w:tcPr>
          <w:p w14:paraId="39698245" w14:textId="77777777" w:rsidR="001531DE" w:rsidRPr="0001134C" w:rsidRDefault="001531DE" w:rsidP="001531DE">
            <w:pPr>
              <w:numPr>
                <w:ilvl w:val="0"/>
                <w:numId w:val="1"/>
              </w:numPr>
              <w:rPr>
                <w:rFonts w:asciiTheme="minorHAnsi" w:hAnsiTheme="minorHAnsi" w:cstheme="minorHAnsi"/>
                <w:sz w:val="22"/>
                <w:szCs w:val="22"/>
              </w:rPr>
            </w:pPr>
            <w:r w:rsidRPr="0001134C">
              <w:rPr>
                <w:rFonts w:asciiTheme="minorHAnsi" w:hAnsiTheme="minorHAnsi" w:cstheme="minorHAnsi"/>
                <w:sz w:val="22"/>
                <w:szCs w:val="22"/>
              </w:rPr>
              <w:t>Multidisciplinary committee with local input</w:t>
            </w:r>
          </w:p>
        </w:tc>
        <w:tc>
          <w:tcPr>
            <w:tcW w:w="2611" w:type="dxa"/>
            <w:vAlign w:val="center"/>
          </w:tcPr>
          <w:p w14:paraId="1FB75242" w14:textId="596256F0" w:rsidR="001531DE" w:rsidRPr="00EC7A71" w:rsidRDefault="001531DE" w:rsidP="001531DE">
            <w:pPr>
              <w:rPr>
                <w:rFonts w:asciiTheme="minorHAnsi" w:hAnsiTheme="minorHAnsi" w:cstheme="minorHAnsi"/>
                <w:sz w:val="20"/>
                <w:szCs w:val="20"/>
              </w:rPr>
            </w:pPr>
            <w:r w:rsidRPr="00EC7A71">
              <w:rPr>
                <w:rFonts w:asciiTheme="minorHAnsi" w:hAnsiTheme="minorHAnsi" w:cstheme="minorHAnsi"/>
                <w:sz w:val="20"/>
                <w:szCs w:val="20"/>
              </w:rPr>
              <w:t xml:space="preserve">The MMRC </w:t>
            </w:r>
            <w:r w:rsidR="0049764D" w:rsidRPr="00EC7A71">
              <w:rPr>
                <w:rFonts w:asciiTheme="minorHAnsi" w:hAnsiTheme="minorHAnsi" w:cstheme="minorHAnsi"/>
                <w:sz w:val="20"/>
                <w:szCs w:val="20"/>
              </w:rPr>
              <w:t>members should</w:t>
            </w:r>
            <w:r w:rsidRPr="00EC7A71">
              <w:rPr>
                <w:rFonts w:asciiTheme="minorHAnsi" w:hAnsiTheme="minorHAnsi" w:cstheme="minorHAnsi"/>
                <w:sz w:val="20"/>
                <w:szCs w:val="20"/>
              </w:rPr>
              <w:t xml:space="preserve"> represent a variety of clinical and psychosocial specializations and members working in and representing diverse communities and from differing geographic regions in the state.</w:t>
            </w:r>
            <w:r w:rsidR="0073732F" w:rsidRPr="00EC7A71">
              <w:rPr>
                <w:rFonts w:asciiTheme="minorHAnsi" w:hAnsiTheme="minorHAnsi" w:cstheme="minorHAnsi"/>
                <w:sz w:val="20"/>
                <w:szCs w:val="20"/>
              </w:rPr>
              <w:t xml:space="preserve"> </w:t>
            </w:r>
            <w:r w:rsidR="0049764D" w:rsidRPr="00EC7A71">
              <w:rPr>
                <w:rFonts w:asciiTheme="minorHAnsi" w:hAnsiTheme="minorHAnsi" w:cstheme="minorHAnsi"/>
                <w:sz w:val="20"/>
                <w:szCs w:val="20"/>
              </w:rPr>
              <w:t>Specifying</w:t>
            </w:r>
            <w:r w:rsidR="00972951" w:rsidRPr="00EC7A71">
              <w:rPr>
                <w:rFonts w:asciiTheme="minorHAnsi" w:hAnsiTheme="minorHAnsi" w:cstheme="minorHAnsi"/>
                <w:sz w:val="20"/>
                <w:szCs w:val="20"/>
              </w:rPr>
              <w:t xml:space="preserve"> </w:t>
            </w:r>
            <w:r w:rsidR="0073732F" w:rsidRPr="00EC7A71">
              <w:rPr>
                <w:rFonts w:asciiTheme="minorHAnsi" w:hAnsiTheme="minorHAnsi" w:cstheme="minorHAnsi"/>
                <w:sz w:val="20"/>
                <w:szCs w:val="20"/>
              </w:rPr>
              <w:t xml:space="preserve">committee membership </w:t>
            </w:r>
            <w:r w:rsidR="00972951" w:rsidRPr="00EC7A71">
              <w:rPr>
                <w:rFonts w:asciiTheme="minorHAnsi" w:hAnsiTheme="minorHAnsi" w:cstheme="minorHAnsi"/>
                <w:sz w:val="20"/>
                <w:szCs w:val="20"/>
              </w:rPr>
              <w:t>facilitates</w:t>
            </w:r>
            <w:r w:rsidR="0073732F" w:rsidRPr="00EC7A71">
              <w:rPr>
                <w:rFonts w:asciiTheme="minorHAnsi" w:hAnsiTheme="minorHAnsi" w:cstheme="minorHAnsi"/>
                <w:sz w:val="20"/>
                <w:szCs w:val="20"/>
              </w:rPr>
              <w:t xml:space="preserve"> diversity and inclusion of key stakeholder groups.</w:t>
            </w:r>
          </w:p>
        </w:tc>
        <w:tc>
          <w:tcPr>
            <w:tcW w:w="6115" w:type="dxa"/>
          </w:tcPr>
          <w:p w14:paraId="56DB6280" w14:textId="77777777" w:rsidR="001531DE" w:rsidRPr="00ED3D95" w:rsidRDefault="00BE63AC" w:rsidP="001531DE">
            <w:pPr>
              <w:rPr>
                <w:rFonts w:asciiTheme="minorHAnsi" w:hAnsiTheme="minorHAnsi" w:cstheme="minorHAnsi"/>
                <w:b/>
                <w:sz w:val="16"/>
                <w:szCs w:val="16"/>
              </w:rPr>
            </w:pPr>
            <w:hyperlink r:id="rId12" w:history="1">
              <w:r w:rsidR="001531DE" w:rsidRPr="00ED3D95">
                <w:rPr>
                  <w:rStyle w:val="Hyperlink"/>
                  <w:rFonts w:asciiTheme="minorHAnsi" w:hAnsiTheme="minorHAnsi" w:cstheme="minorHAnsi"/>
                  <w:sz w:val="16"/>
                  <w:szCs w:val="16"/>
                </w:rPr>
                <w:t>TEXAS</w:t>
              </w:r>
            </w:hyperlink>
            <w:r w:rsidR="001531DE" w:rsidRPr="00ED3D95">
              <w:rPr>
                <w:rFonts w:asciiTheme="minorHAnsi" w:hAnsiTheme="minorHAnsi" w:cstheme="minorHAnsi"/>
                <w:b/>
                <w:sz w:val="16"/>
                <w:szCs w:val="16"/>
              </w:rPr>
              <w:t xml:space="preserve">: </w:t>
            </w:r>
          </w:p>
          <w:p w14:paraId="395EAF01" w14:textId="77777777" w:rsidR="001531DE" w:rsidRPr="00ED3D95" w:rsidRDefault="001531DE" w:rsidP="001531DE">
            <w:pPr>
              <w:rPr>
                <w:rFonts w:asciiTheme="minorHAnsi" w:hAnsiTheme="minorHAnsi" w:cstheme="minorHAnsi"/>
                <w:i/>
                <w:sz w:val="16"/>
                <w:szCs w:val="16"/>
              </w:rPr>
            </w:pPr>
            <w:r w:rsidRPr="00ED3D95">
              <w:rPr>
                <w:rFonts w:asciiTheme="minorHAnsi" w:hAnsiTheme="minorHAnsi" w:cstheme="minorHAnsi"/>
                <w:i/>
                <w:sz w:val="16"/>
                <w:szCs w:val="16"/>
              </w:rPr>
              <w:t>In appointing members to the task force, the commissioner shall:</w:t>
            </w:r>
          </w:p>
          <w:p w14:paraId="006C7F6D" w14:textId="77777777" w:rsidR="001531DE" w:rsidRPr="00ED3D95" w:rsidRDefault="001531DE" w:rsidP="001531DE">
            <w:pPr>
              <w:pStyle w:val="ListParagraph"/>
              <w:numPr>
                <w:ilvl w:val="0"/>
                <w:numId w:val="5"/>
              </w:numPr>
              <w:rPr>
                <w:rFonts w:asciiTheme="minorHAnsi" w:hAnsiTheme="minorHAnsi" w:cstheme="minorHAnsi"/>
                <w:i/>
                <w:sz w:val="16"/>
                <w:szCs w:val="16"/>
              </w:rPr>
            </w:pPr>
            <w:r w:rsidRPr="00ED3D95">
              <w:rPr>
                <w:rFonts w:asciiTheme="minorHAnsi" w:hAnsiTheme="minorHAnsi" w:cstheme="minorHAnsi"/>
                <w:i/>
                <w:sz w:val="16"/>
                <w:szCs w:val="16"/>
              </w:rPr>
              <w:t>include members:</w:t>
            </w:r>
          </w:p>
          <w:p w14:paraId="5D6125B4" w14:textId="77777777" w:rsidR="001531DE" w:rsidRPr="00ED3D95" w:rsidRDefault="001531DE" w:rsidP="001531DE">
            <w:pPr>
              <w:pStyle w:val="ListParagraph"/>
              <w:numPr>
                <w:ilvl w:val="1"/>
                <w:numId w:val="5"/>
              </w:numPr>
              <w:rPr>
                <w:rFonts w:asciiTheme="minorHAnsi" w:hAnsiTheme="minorHAnsi" w:cstheme="minorHAnsi"/>
                <w:i/>
                <w:sz w:val="16"/>
                <w:szCs w:val="16"/>
              </w:rPr>
            </w:pPr>
            <w:r w:rsidRPr="00ED3D95">
              <w:rPr>
                <w:rFonts w:asciiTheme="minorHAnsi" w:hAnsiTheme="minorHAnsi" w:cstheme="minorHAnsi"/>
                <w:i/>
                <w:sz w:val="16"/>
                <w:szCs w:val="16"/>
              </w:rPr>
              <w:t>working in and representing communities that are diverse with regard to race, ethnicity, immigration status, and English proficiency; and</w:t>
            </w:r>
          </w:p>
          <w:p w14:paraId="72F05191" w14:textId="77777777" w:rsidR="001531DE" w:rsidRPr="00ED3D95" w:rsidRDefault="001531DE" w:rsidP="001531DE">
            <w:pPr>
              <w:pStyle w:val="ListParagraph"/>
              <w:numPr>
                <w:ilvl w:val="1"/>
                <w:numId w:val="5"/>
              </w:numPr>
              <w:rPr>
                <w:rFonts w:asciiTheme="minorHAnsi" w:hAnsiTheme="minorHAnsi" w:cstheme="minorHAnsi"/>
                <w:i/>
                <w:sz w:val="16"/>
                <w:szCs w:val="16"/>
              </w:rPr>
            </w:pPr>
            <w:r w:rsidRPr="00ED3D95">
              <w:rPr>
                <w:rFonts w:asciiTheme="minorHAnsi" w:hAnsiTheme="minorHAnsi" w:cstheme="minorHAnsi"/>
                <w:i/>
                <w:sz w:val="16"/>
                <w:szCs w:val="16"/>
              </w:rPr>
              <w:t>from differing geographic regions in the state, including both rural and urban areas;</w:t>
            </w:r>
          </w:p>
          <w:p w14:paraId="0876118E" w14:textId="77777777" w:rsidR="001531DE" w:rsidRPr="00ED3D95" w:rsidRDefault="001531DE" w:rsidP="001531DE">
            <w:pPr>
              <w:pStyle w:val="ListParagraph"/>
              <w:numPr>
                <w:ilvl w:val="0"/>
                <w:numId w:val="5"/>
              </w:numPr>
              <w:rPr>
                <w:rFonts w:asciiTheme="minorHAnsi" w:hAnsiTheme="minorHAnsi" w:cstheme="minorHAnsi"/>
                <w:i/>
                <w:sz w:val="16"/>
                <w:szCs w:val="16"/>
              </w:rPr>
            </w:pPr>
            <w:r w:rsidRPr="00ED3D95">
              <w:rPr>
                <w:rFonts w:asciiTheme="minorHAnsi" w:hAnsiTheme="minorHAnsi" w:cstheme="minorHAnsi"/>
                <w:i/>
                <w:sz w:val="16"/>
                <w:szCs w:val="16"/>
              </w:rPr>
              <w:t>endeavor to include members who are working in and representing communities that are affected by pregnancy-related deaths and severe maternal morbidity and by a lack of access to relevant perinatal and intrapartum care services; and</w:t>
            </w:r>
          </w:p>
          <w:p w14:paraId="348C1B06" w14:textId="77777777" w:rsidR="001531DE" w:rsidRPr="00ED3D95" w:rsidRDefault="001531DE" w:rsidP="001531DE">
            <w:pPr>
              <w:pStyle w:val="ListParagraph"/>
              <w:numPr>
                <w:ilvl w:val="0"/>
                <w:numId w:val="5"/>
              </w:numPr>
              <w:rPr>
                <w:rFonts w:asciiTheme="minorHAnsi" w:hAnsiTheme="minorHAnsi" w:cstheme="minorHAnsi"/>
                <w:sz w:val="16"/>
                <w:szCs w:val="16"/>
              </w:rPr>
            </w:pPr>
            <w:proofErr w:type="gramStart"/>
            <w:r w:rsidRPr="00ED3D95">
              <w:rPr>
                <w:rFonts w:asciiTheme="minorHAnsi" w:hAnsiTheme="minorHAnsi" w:cstheme="minorHAnsi"/>
                <w:i/>
                <w:sz w:val="16"/>
                <w:szCs w:val="16"/>
              </w:rPr>
              <w:t>ensure</w:t>
            </w:r>
            <w:proofErr w:type="gramEnd"/>
            <w:r w:rsidRPr="00ED3D95">
              <w:rPr>
                <w:rFonts w:asciiTheme="minorHAnsi" w:hAnsiTheme="minorHAnsi" w:cstheme="minorHAnsi"/>
                <w:i/>
                <w:sz w:val="16"/>
                <w:szCs w:val="16"/>
              </w:rPr>
              <w:t xml:space="preserve"> that the composition of the task force reflects the racial, ethnic, and linguistic diversity of this state.</w:t>
            </w:r>
          </w:p>
          <w:p w14:paraId="7DF595FC" w14:textId="77777777" w:rsidR="00A512F4" w:rsidRPr="00ED3D95" w:rsidRDefault="00A512F4" w:rsidP="00A512F4">
            <w:pPr>
              <w:pStyle w:val="ListParagraph"/>
              <w:ind w:left="360"/>
              <w:rPr>
                <w:rFonts w:asciiTheme="minorHAnsi" w:hAnsiTheme="minorHAnsi" w:cstheme="minorHAnsi"/>
                <w:sz w:val="16"/>
                <w:szCs w:val="16"/>
              </w:rPr>
            </w:pPr>
          </w:p>
        </w:tc>
      </w:tr>
      <w:tr w:rsidR="00C04C19" w:rsidRPr="0001134C" w14:paraId="001BC1B2" w14:textId="77777777" w:rsidTr="00EC7A71">
        <w:trPr>
          <w:trHeight w:val="980"/>
        </w:trPr>
        <w:tc>
          <w:tcPr>
            <w:tcW w:w="2064" w:type="dxa"/>
            <w:vAlign w:val="center"/>
          </w:tcPr>
          <w:p w14:paraId="08B799C5" w14:textId="23D5D72C" w:rsidR="00C04C19" w:rsidRPr="0001134C" w:rsidRDefault="00C04C19" w:rsidP="001531DE">
            <w:pPr>
              <w:numPr>
                <w:ilvl w:val="0"/>
                <w:numId w:val="1"/>
              </w:numPr>
              <w:rPr>
                <w:rFonts w:asciiTheme="minorHAnsi" w:hAnsiTheme="minorHAnsi" w:cstheme="minorHAnsi"/>
                <w:sz w:val="22"/>
                <w:szCs w:val="22"/>
              </w:rPr>
            </w:pPr>
            <w:r>
              <w:rPr>
                <w:rFonts w:asciiTheme="minorHAnsi" w:hAnsiTheme="minorHAnsi" w:cstheme="minorHAnsi"/>
                <w:sz w:val="22"/>
                <w:szCs w:val="22"/>
              </w:rPr>
              <w:t>Ability to share de-identified data and findings locally and regionally</w:t>
            </w:r>
          </w:p>
        </w:tc>
        <w:tc>
          <w:tcPr>
            <w:tcW w:w="2611" w:type="dxa"/>
            <w:vAlign w:val="center"/>
          </w:tcPr>
          <w:p w14:paraId="0692BE29" w14:textId="0EA85A66" w:rsidR="00C04C19" w:rsidRPr="00EC7A71" w:rsidRDefault="00D42D15" w:rsidP="001531DE">
            <w:pPr>
              <w:rPr>
                <w:rFonts w:asciiTheme="minorHAnsi" w:hAnsiTheme="minorHAnsi" w:cstheme="minorHAnsi"/>
                <w:sz w:val="20"/>
                <w:szCs w:val="20"/>
              </w:rPr>
            </w:pPr>
            <w:r w:rsidRPr="00EC7A71">
              <w:rPr>
                <w:rFonts w:asciiTheme="minorHAnsi" w:hAnsiTheme="minorHAnsi" w:cstheme="minorHAnsi"/>
                <w:sz w:val="20"/>
                <w:szCs w:val="20"/>
              </w:rPr>
              <w:t>Flexible authority for limited access to MMRC data for research and to collaborate with other jurisdictions helps MMRCs overcome challenges presented by identification of trends from small caseloads or cases where the place of residence and place of death are in different states</w:t>
            </w:r>
            <w:r w:rsidR="00EF03AD" w:rsidRPr="00EC7A71">
              <w:rPr>
                <w:rFonts w:asciiTheme="minorHAnsi" w:hAnsiTheme="minorHAnsi" w:cstheme="minorHAnsi"/>
                <w:sz w:val="20"/>
                <w:szCs w:val="20"/>
              </w:rPr>
              <w:t>, and participate in activities to advance regional or national priorities in maternal mortality prevention.</w:t>
            </w:r>
          </w:p>
        </w:tc>
        <w:tc>
          <w:tcPr>
            <w:tcW w:w="6115" w:type="dxa"/>
          </w:tcPr>
          <w:p w14:paraId="19EA17A5" w14:textId="77777777" w:rsidR="00C04C19" w:rsidRDefault="00BE63AC" w:rsidP="00C04C19">
            <w:pPr>
              <w:rPr>
                <w:rStyle w:val="Hyperlink"/>
                <w:rFonts w:asciiTheme="minorHAnsi" w:hAnsiTheme="minorHAnsi" w:cstheme="minorHAnsi"/>
                <w:sz w:val="16"/>
                <w:szCs w:val="16"/>
              </w:rPr>
            </w:pPr>
            <w:hyperlink r:id="rId13" w:history="1">
              <w:r w:rsidR="00C04C19" w:rsidRPr="00EC58B6">
                <w:rPr>
                  <w:rStyle w:val="Hyperlink"/>
                  <w:rFonts w:asciiTheme="minorHAnsi" w:hAnsiTheme="minorHAnsi" w:cstheme="minorHAnsi"/>
                  <w:sz w:val="16"/>
                  <w:szCs w:val="16"/>
                </w:rPr>
                <w:t>CONNECTICUT</w:t>
              </w:r>
            </w:hyperlink>
            <w:r w:rsidR="00C04C19" w:rsidRPr="00ED3D95">
              <w:rPr>
                <w:rFonts w:asciiTheme="minorHAnsi" w:hAnsiTheme="minorHAnsi" w:cstheme="minorHAnsi"/>
                <w:b/>
                <w:sz w:val="16"/>
                <w:szCs w:val="16"/>
              </w:rPr>
              <w:t>:</w:t>
            </w:r>
          </w:p>
          <w:p w14:paraId="4499C92B" w14:textId="632FC1AC" w:rsidR="00C04C19" w:rsidRDefault="00C04C19" w:rsidP="00C04C19">
            <w:pPr>
              <w:rPr>
                <w:rStyle w:val="Hyperlink"/>
                <w:rFonts w:asciiTheme="minorHAnsi" w:hAnsiTheme="minorHAnsi" w:cstheme="minorHAnsi"/>
                <w:i/>
                <w:color w:val="auto"/>
                <w:sz w:val="16"/>
                <w:szCs w:val="16"/>
                <w:u w:val="none"/>
              </w:rPr>
            </w:pPr>
            <w:r w:rsidRPr="00494591">
              <w:rPr>
                <w:rStyle w:val="Hyperlink"/>
                <w:rFonts w:asciiTheme="minorHAnsi" w:hAnsiTheme="minorHAnsi" w:cstheme="minorHAnsi"/>
                <w:i/>
                <w:color w:val="auto"/>
                <w:sz w:val="16"/>
                <w:szCs w:val="16"/>
                <w:u w:val="none"/>
              </w:rPr>
              <w:t>…the Department of Public Health may exchange personal data for the purpose of medical or scientific research, with any other governmental agency or private research organization; provided such state, governmental agency or private research organization shall not further disclose such personal data.</w:t>
            </w:r>
          </w:p>
          <w:p w14:paraId="3A25E02A" w14:textId="5A158EB0" w:rsidR="00981FB1" w:rsidRDefault="00981FB1" w:rsidP="00C04C19">
            <w:pPr>
              <w:rPr>
                <w:rStyle w:val="Hyperlink"/>
                <w:i/>
                <w:sz w:val="16"/>
                <w:szCs w:val="16"/>
              </w:rPr>
            </w:pPr>
          </w:p>
          <w:p w14:paraId="70FB48BC" w14:textId="25645BA5" w:rsidR="00981FB1" w:rsidRPr="00EC7A71" w:rsidRDefault="00BE63AC" w:rsidP="00981FB1">
            <w:pPr>
              <w:rPr>
                <w:rStyle w:val="Hyperlink"/>
                <w:rFonts w:asciiTheme="minorHAnsi" w:hAnsiTheme="minorHAnsi" w:cstheme="minorHAnsi"/>
                <w:color w:val="auto"/>
                <w:sz w:val="16"/>
                <w:szCs w:val="16"/>
                <w:u w:val="none"/>
              </w:rPr>
            </w:pPr>
            <w:hyperlink r:id="rId14" w:history="1">
              <w:r w:rsidR="00D42D15" w:rsidRPr="007B35D8">
                <w:rPr>
                  <w:rStyle w:val="Hyperlink"/>
                  <w:rFonts w:asciiTheme="minorHAnsi" w:hAnsiTheme="minorHAnsi" w:cstheme="minorHAnsi"/>
                  <w:sz w:val="16"/>
                  <w:szCs w:val="16"/>
                </w:rPr>
                <w:t>TENNESSEE</w:t>
              </w:r>
            </w:hyperlink>
            <w:r w:rsidR="00D42D15">
              <w:rPr>
                <w:rStyle w:val="Hyperlink"/>
                <w:rFonts w:asciiTheme="minorHAnsi" w:hAnsiTheme="minorHAnsi" w:cstheme="minorHAnsi"/>
                <w:color w:val="auto"/>
                <w:sz w:val="16"/>
                <w:szCs w:val="16"/>
                <w:u w:val="none"/>
              </w:rPr>
              <w:t>:</w:t>
            </w:r>
          </w:p>
          <w:p w14:paraId="3B55F71C" w14:textId="7322491B" w:rsidR="00981FB1" w:rsidRPr="00981FB1" w:rsidRDefault="00981FB1" w:rsidP="00981FB1">
            <w:pPr>
              <w:rPr>
                <w:rStyle w:val="Hyperlink"/>
                <w:rFonts w:asciiTheme="minorHAnsi" w:hAnsiTheme="minorHAnsi" w:cstheme="minorHAnsi"/>
                <w:i/>
                <w:color w:val="auto"/>
                <w:sz w:val="16"/>
                <w:szCs w:val="16"/>
                <w:u w:val="none"/>
              </w:rPr>
            </w:pPr>
            <w:r w:rsidRPr="00981FB1">
              <w:rPr>
                <w:rStyle w:val="Hyperlink"/>
                <w:rFonts w:asciiTheme="minorHAnsi" w:hAnsiTheme="minorHAnsi" w:cstheme="minorHAnsi"/>
                <w:i/>
                <w:color w:val="auto"/>
                <w:sz w:val="16"/>
                <w:szCs w:val="16"/>
                <w:u w:val="none"/>
              </w:rPr>
              <w:t>(2) The state team:</w:t>
            </w:r>
          </w:p>
          <w:p w14:paraId="0AAFE431" w14:textId="21599E2E" w:rsidR="00981FB1" w:rsidRPr="00981FB1" w:rsidRDefault="00D42D15" w:rsidP="00981FB1">
            <w:pPr>
              <w:rPr>
                <w:rStyle w:val="Hyperlink"/>
                <w:rFonts w:asciiTheme="minorHAnsi" w:hAnsiTheme="minorHAnsi" w:cstheme="minorHAnsi"/>
                <w:i/>
                <w:color w:val="auto"/>
                <w:sz w:val="16"/>
                <w:szCs w:val="16"/>
                <w:u w:val="none"/>
              </w:rPr>
            </w:pPr>
            <w:r>
              <w:rPr>
                <w:rStyle w:val="Hyperlink"/>
                <w:rFonts w:asciiTheme="minorHAnsi" w:hAnsiTheme="minorHAnsi" w:cstheme="minorHAnsi"/>
                <w:i/>
                <w:color w:val="auto"/>
                <w:sz w:val="16"/>
                <w:szCs w:val="16"/>
                <w:u w:val="none"/>
              </w:rPr>
              <w:t>…</w:t>
            </w:r>
          </w:p>
          <w:p w14:paraId="4B7831B5" w14:textId="46E6A80D" w:rsidR="00981FB1" w:rsidRPr="00981FB1" w:rsidRDefault="00981FB1" w:rsidP="00981FB1">
            <w:pPr>
              <w:rPr>
                <w:rStyle w:val="Hyperlink"/>
                <w:rFonts w:asciiTheme="minorHAnsi" w:hAnsiTheme="minorHAnsi" w:cstheme="minorHAnsi"/>
                <w:i/>
                <w:color w:val="auto"/>
                <w:sz w:val="16"/>
                <w:szCs w:val="16"/>
                <w:u w:val="none"/>
              </w:rPr>
            </w:pPr>
            <w:r w:rsidRPr="00981FB1">
              <w:rPr>
                <w:rStyle w:val="Hyperlink"/>
                <w:rFonts w:asciiTheme="minorHAnsi" w:hAnsiTheme="minorHAnsi" w:cstheme="minorHAnsi"/>
                <w:i/>
                <w:color w:val="auto"/>
                <w:sz w:val="16"/>
                <w:szCs w:val="16"/>
                <w:u w:val="none"/>
              </w:rPr>
              <w:t>(B) May share information with other public health authorities or their</w:t>
            </w:r>
            <w:r w:rsidR="00D42D15">
              <w:rPr>
                <w:rStyle w:val="Hyperlink"/>
                <w:rFonts w:asciiTheme="minorHAnsi" w:hAnsiTheme="minorHAnsi" w:cstheme="minorHAnsi"/>
                <w:i/>
                <w:color w:val="auto"/>
                <w:sz w:val="16"/>
                <w:szCs w:val="16"/>
                <w:u w:val="none"/>
              </w:rPr>
              <w:t xml:space="preserve"> </w:t>
            </w:r>
            <w:r w:rsidRPr="00981FB1">
              <w:rPr>
                <w:rStyle w:val="Hyperlink"/>
                <w:rFonts w:asciiTheme="minorHAnsi" w:hAnsiTheme="minorHAnsi" w:cstheme="minorHAnsi"/>
                <w:i/>
                <w:color w:val="auto"/>
                <w:sz w:val="16"/>
                <w:szCs w:val="16"/>
                <w:u w:val="none"/>
              </w:rPr>
              <w:t>designees as the state team may determine necessary to achieve the goals of</w:t>
            </w:r>
            <w:r w:rsidR="00D42D15">
              <w:rPr>
                <w:rStyle w:val="Hyperlink"/>
                <w:rFonts w:asciiTheme="minorHAnsi" w:hAnsiTheme="minorHAnsi" w:cstheme="minorHAnsi"/>
                <w:i/>
                <w:color w:val="auto"/>
                <w:sz w:val="16"/>
                <w:szCs w:val="16"/>
                <w:u w:val="none"/>
              </w:rPr>
              <w:t xml:space="preserve"> </w:t>
            </w:r>
            <w:r w:rsidRPr="00981FB1">
              <w:rPr>
                <w:rStyle w:val="Hyperlink"/>
                <w:rFonts w:asciiTheme="minorHAnsi" w:hAnsiTheme="minorHAnsi" w:cstheme="minorHAnsi"/>
                <w:i/>
                <w:color w:val="auto"/>
                <w:sz w:val="16"/>
                <w:szCs w:val="16"/>
                <w:u w:val="none"/>
              </w:rPr>
              <w:t>the program.</w:t>
            </w:r>
          </w:p>
          <w:p w14:paraId="5D17D401" w14:textId="77777777" w:rsidR="00981FB1" w:rsidRPr="00981FB1" w:rsidRDefault="00981FB1" w:rsidP="00981FB1">
            <w:pPr>
              <w:rPr>
                <w:rStyle w:val="Hyperlink"/>
                <w:rFonts w:asciiTheme="minorHAnsi" w:hAnsiTheme="minorHAnsi" w:cstheme="minorHAnsi"/>
                <w:i/>
                <w:color w:val="auto"/>
                <w:sz w:val="16"/>
                <w:szCs w:val="16"/>
                <w:u w:val="none"/>
              </w:rPr>
            </w:pPr>
            <w:r w:rsidRPr="00981FB1">
              <w:rPr>
                <w:rStyle w:val="Hyperlink"/>
                <w:rFonts w:asciiTheme="minorHAnsi" w:hAnsiTheme="minorHAnsi" w:cstheme="minorHAnsi"/>
                <w:i/>
                <w:color w:val="auto"/>
                <w:sz w:val="16"/>
                <w:szCs w:val="16"/>
                <w:u w:val="none"/>
              </w:rPr>
              <w:t>(b) The state team may request that persons with direct knowledge of circumstances</w:t>
            </w:r>
          </w:p>
          <w:p w14:paraId="762D0FBD" w14:textId="77777777" w:rsidR="00981FB1" w:rsidRPr="00981FB1" w:rsidRDefault="00981FB1" w:rsidP="00981FB1">
            <w:pPr>
              <w:rPr>
                <w:rStyle w:val="Hyperlink"/>
                <w:rFonts w:asciiTheme="minorHAnsi" w:hAnsiTheme="minorHAnsi" w:cstheme="minorHAnsi"/>
                <w:i/>
                <w:color w:val="auto"/>
                <w:sz w:val="16"/>
                <w:szCs w:val="16"/>
                <w:u w:val="none"/>
              </w:rPr>
            </w:pPr>
            <w:r w:rsidRPr="00981FB1">
              <w:rPr>
                <w:rStyle w:val="Hyperlink"/>
                <w:rFonts w:asciiTheme="minorHAnsi" w:hAnsiTheme="minorHAnsi" w:cstheme="minorHAnsi"/>
                <w:i/>
                <w:color w:val="auto"/>
                <w:sz w:val="16"/>
                <w:szCs w:val="16"/>
                <w:u w:val="none"/>
              </w:rPr>
              <w:t>surrounding a particular fatality provide the state team with information necessary to</w:t>
            </w:r>
          </w:p>
          <w:p w14:paraId="080FD134" w14:textId="2982CE45" w:rsidR="00981FB1" w:rsidRDefault="00981FB1" w:rsidP="00981FB1">
            <w:pPr>
              <w:rPr>
                <w:rStyle w:val="Hyperlink"/>
                <w:rFonts w:asciiTheme="minorHAnsi" w:hAnsiTheme="minorHAnsi" w:cstheme="minorHAnsi"/>
                <w:i/>
                <w:color w:val="auto"/>
                <w:sz w:val="16"/>
                <w:szCs w:val="16"/>
                <w:u w:val="none"/>
              </w:rPr>
            </w:pPr>
            <w:proofErr w:type="gramStart"/>
            <w:r w:rsidRPr="00981FB1">
              <w:rPr>
                <w:rStyle w:val="Hyperlink"/>
                <w:rFonts w:asciiTheme="minorHAnsi" w:hAnsiTheme="minorHAnsi" w:cstheme="minorHAnsi"/>
                <w:i/>
                <w:color w:val="auto"/>
                <w:sz w:val="16"/>
                <w:szCs w:val="16"/>
                <w:u w:val="none"/>
              </w:rPr>
              <w:t>complete</w:t>
            </w:r>
            <w:proofErr w:type="gramEnd"/>
            <w:r w:rsidRPr="00981FB1">
              <w:rPr>
                <w:rStyle w:val="Hyperlink"/>
                <w:rFonts w:asciiTheme="minorHAnsi" w:hAnsiTheme="minorHAnsi" w:cstheme="minorHAnsi"/>
                <w:i/>
                <w:color w:val="auto"/>
                <w:sz w:val="16"/>
                <w:szCs w:val="16"/>
                <w:u w:val="none"/>
              </w:rPr>
              <w:t xml:space="preserve"> the review of the particular fatality; such persons may include healthcare providers</w:t>
            </w:r>
            <w:r w:rsidR="00D42D15">
              <w:rPr>
                <w:rStyle w:val="Hyperlink"/>
                <w:rFonts w:asciiTheme="minorHAnsi" w:hAnsiTheme="minorHAnsi" w:cstheme="minorHAnsi"/>
                <w:i/>
                <w:color w:val="auto"/>
                <w:sz w:val="16"/>
                <w:szCs w:val="16"/>
                <w:u w:val="none"/>
              </w:rPr>
              <w:t xml:space="preserve"> </w:t>
            </w:r>
            <w:r w:rsidRPr="00981FB1">
              <w:rPr>
                <w:rStyle w:val="Hyperlink"/>
                <w:rFonts w:asciiTheme="minorHAnsi" w:hAnsiTheme="minorHAnsi" w:cstheme="minorHAnsi"/>
                <w:i/>
                <w:color w:val="auto"/>
                <w:sz w:val="16"/>
                <w:szCs w:val="16"/>
                <w:u w:val="none"/>
              </w:rPr>
              <w:t>or staff involved in the care of the woman or the person who first responded to a report</w:t>
            </w:r>
            <w:r w:rsidR="00D42D15">
              <w:rPr>
                <w:rStyle w:val="Hyperlink"/>
                <w:rFonts w:asciiTheme="minorHAnsi" w:hAnsiTheme="minorHAnsi" w:cstheme="minorHAnsi"/>
                <w:i/>
                <w:color w:val="auto"/>
                <w:sz w:val="16"/>
                <w:szCs w:val="16"/>
                <w:u w:val="none"/>
              </w:rPr>
              <w:t xml:space="preserve"> </w:t>
            </w:r>
            <w:r w:rsidRPr="00981FB1">
              <w:rPr>
                <w:rStyle w:val="Hyperlink"/>
                <w:rFonts w:asciiTheme="minorHAnsi" w:hAnsiTheme="minorHAnsi" w:cstheme="minorHAnsi"/>
                <w:i/>
                <w:color w:val="auto"/>
                <w:sz w:val="16"/>
                <w:szCs w:val="16"/>
                <w:u w:val="none"/>
              </w:rPr>
              <w:t>concerning the woman.</w:t>
            </w:r>
          </w:p>
          <w:p w14:paraId="4695E916" w14:textId="77777777" w:rsidR="00C04C19" w:rsidRDefault="00C04C19" w:rsidP="001531DE"/>
        </w:tc>
      </w:tr>
    </w:tbl>
    <w:p w14:paraId="108E9003" w14:textId="77777777" w:rsidR="0049764D" w:rsidRDefault="0049764D" w:rsidP="0001134C">
      <w:pPr>
        <w:rPr>
          <w:rFonts w:asciiTheme="minorHAnsi" w:hAnsiTheme="minorHAnsi" w:cstheme="minorHAnsi"/>
          <w:b/>
        </w:rPr>
      </w:pPr>
    </w:p>
    <w:p w14:paraId="402008AF" w14:textId="0B9457EE" w:rsidR="00A30D7E" w:rsidRPr="0001134C" w:rsidRDefault="0001134C" w:rsidP="0001134C">
      <w:pPr>
        <w:rPr>
          <w:rFonts w:asciiTheme="minorHAnsi" w:hAnsiTheme="minorHAnsi" w:cstheme="minorHAnsi"/>
        </w:rPr>
      </w:pPr>
      <w:r w:rsidRPr="0001134C">
        <w:rPr>
          <w:rFonts w:asciiTheme="minorHAnsi" w:hAnsiTheme="minorHAnsi" w:cstheme="minorHAnsi"/>
          <w:b/>
        </w:rPr>
        <w:t>Questions</w:t>
      </w:r>
      <w:r w:rsidR="002A511B">
        <w:rPr>
          <w:rFonts w:asciiTheme="minorHAnsi" w:hAnsiTheme="minorHAnsi" w:cstheme="minorHAnsi"/>
          <w:b/>
        </w:rPr>
        <w:t xml:space="preserve"> </w:t>
      </w:r>
      <w:r w:rsidR="00043F29">
        <w:rPr>
          <w:rFonts w:asciiTheme="minorHAnsi" w:hAnsiTheme="minorHAnsi" w:cstheme="minorHAnsi"/>
          <w:b/>
        </w:rPr>
        <w:t>about</w:t>
      </w:r>
      <w:r w:rsidR="002A511B">
        <w:rPr>
          <w:rFonts w:asciiTheme="minorHAnsi" w:hAnsiTheme="minorHAnsi" w:cstheme="minorHAnsi"/>
          <w:b/>
        </w:rPr>
        <w:t xml:space="preserve"> </w:t>
      </w:r>
      <w:r w:rsidR="00043F29">
        <w:rPr>
          <w:rFonts w:asciiTheme="minorHAnsi" w:hAnsiTheme="minorHAnsi" w:cstheme="minorHAnsi"/>
          <w:b/>
        </w:rPr>
        <w:t>MMRCs</w:t>
      </w:r>
      <w:r w:rsidRPr="0001134C">
        <w:rPr>
          <w:rFonts w:asciiTheme="minorHAnsi" w:hAnsiTheme="minorHAnsi" w:cstheme="minorHAnsi"/>
          <w:b/>
        </w:rPr>
        <w:t>?</w:t>
      </w:r>
      <w:r>
        <w:rPr>
          <w:rFonts w:asciiTheme="minorHAnsi" w:hAnsiTheme="minorHAnsi" w:cstheme="minorHAnsi"/>
        </w:rPr>
        <w:t xml:space="preserve"> Please contact </w:t>
      </w:r>
      <w:hyperlink r:id="rId15" w:history="1">
        <w:r w:rsidRPr="0001134C">
          <w:rPr>
            <w:rStyle w:val="Hyperlink"/>
            <w:rFonts w:asciiTheme="minorHAnsi" w:hAnsiTheme="minorHAnsi" w:cstheme="minorHAnsi"/>
          </w:rPr>
          <w:t>Julie Zaharatos</w:t>
        </w:r>
      </w:hyperlink>
      <w:r>
        <w:rPr>
          <w:rFonts w:asciiTheme="minorHAnsi" w:hAnsiTheme="minorHAnsi" w:cstheme="minorHAnsi"/>
        </w:rPr>
        <w:t xml:space="preserve"> </w:t>
      </w:r>
      <w:r w:rsidR="009C13E4">
        <w:rPr>
          <w:rFonts w:asciiTheme="minorHAnsi" w:hAnsiTheme="minorHAnsi" w:cstheme="minorHAnsi"/>
        </w:rPr>
        <w:t xml:space="preserve">&lt;jzaharatos@cdc.gov&gt; </w:t>
      </w:r>
      <w:r>
        <w:rPr>
          <w:rFonts w:asciiTheme="minorHAnsi" w:hAnsiTheme="minorHAnsi" w:cstheme="minorHAnsi"/>
        </w:rPr>
        <w:t>at CDC,</w:t>
      </w:r>
      <w:r w:rsidR="0049764D">
        <w:rPr>
          <w:rFonts w:asciiTheme="minorHAnsi" w:hAnsiTheme="minorHAnsi" w:cstheme="minorHAnsi"/>
        </w:rPr>
        <w:t xml:space="preserve"> </w:t>
      </w:r>
      <w:hyperlink r:id="rId16" w:history="1">
        <w:r w:rsidR="0049764D" w:rsidRPr="0001134C">
          <w:rPr>
            <w:rStyle w:val="Hyperlink"/>
            <w:rFonts w:asciiTheme="minorHAnsi" w:hAnsiTheme="minorHAnsi" w:cstheme="minorHAnsi"/>
          </w:rPr>
          <w:t>Andria Cornell</w:t>
        </w:r>
      </w:hyperlink>
      <w:r w:rsidR="0049764D">
        <w:rPr>
          <w:rFonts w:asciiTheme="minorHAnsi" w:hAnsiTheme="minorHAnsi" w:cstheme="minorHAnsi"/>
        </w:rPr>
        <w:t xml:space="preserve"> </w:t>
      </w:r>
      <w:r w:rsidR="009C13E4">
        <w:rPr>
          <w:rFonts w:asciiTheme="minorHAnsi" w:hAnsiTheme="minorHAnsi" w:cstheme="minorHAnsi"/>
        </w:rPr>
        <w:t>&lt;</w:t>
      </w:r>
      <w:r w:rsidR="009C13E4" w:rsidRPr="009C13E4">
        <w:rPr>
          <w:rFonts w:asciiTheme="minorHAnsi" w:hAnsiTheme="minorHAnsi" w:cstheme="minorHAnsi"/>
        </w:rPr>
        <w:t>acornell@amchp.org</w:t>
      </w:r>
      <w:r w:rsidR="009C13E4">
        <w:rPr>
          <w:rFonts w:asciiTheme="minorHAnsi" w:hAnsiTheme="minorHAnsi" w:cstheme="minorHAnsi"/>
        </w:rPr>
        <w:t xml:space="preserve">&gt; </w:t>
      </w:r>
      <w:r w:rsidR="0049764D">
        <w:rPr>
          <w:rFonts w:asciiTheme="minorHAnsi" w:hAnsiTheme="minorHAnsi" w:cstheme="minorHAnsi"/>
        </w:rPr>
        <w:t>at AMCHP, and</w:t>
      </w:r>
      <w:r>
        <w:rPr>
          <w:rFonts w:asciiTheme="minorHAnsi" w:hAnsiTheme="minorHAnsi" w:cstheme="minorHAnsi"/>
        </w:rPr>
        <w:t xml:space="preserve"> </w:t>
      </w:r>
      <w:hyperlink r:id="rId17" w:history="1">
        <w:r w:rsidRPr="0001134C">
          <w:rPr>
            <w:rStyle w:val="Hyperlink"/>
            <w:rFonts w:asciiTheme="minorHAnsi" w:hAnsiTheme="minorHAnsi" w:cstheme="minorHAnsi"/>
          </w:rPr>
          <w:t>Kathryn Moore</w:t>
        </w:r>
      </w:hyperlink>
      <w:r w:rsidR="0049764D">
        <w:rPr>
          <w:rFonts w:asciiTheme="minorHAnsi" w:hAnsiTheme="minorHAnsi" w:cstheme="minorHAnsi"/>
        </w:rPr>
        <w:t xml:space="preserve"> </w:t>
      </w:r>
      <w:r w:rsidR="009C13E4">
        <w:rPr>
          <w:rFonts w:asciiTheme="minorHAnsi" w:hAnsiTheme="minorHAnsi" w:cstheme="minorHAnsi"/>
        </w:rPr>
        <w:t>&lt;</w:t>
      </w:r>
      <w:r w:rsidR="009C13E4" w:rsidRPr="009C13E4">
        <w:rPr>
          <w:rFonts w:asciiTheme="minorHAnsi" w:hAnsiTheme="minorHAnsi" w:cstheme="minorHAnsi"/>
        </w:rPr>
        <w:t>kmoore@acog.org</w:t>
      </w:r>
      <w:r w:rsidR="009C13E4">
        <w:rPr>
          <w:rFonts w:asciiTheme="minorHAnsi" w:hAnsiTheme="minorHAnsi" w:cstheme="minorHAnsi"/>
        </w:rPr>
        <w:t xml:space="preserve">&gt; </w:t>
      </w:r>
      <w:r w:rsidR="0049764D">
        <w:rPr>
          <w:rFonts w:asciiTheme="minorHAnsi" w:hAnsiTheme="minorHAnsi" w:cstheme="minorHAnsi"/>
        </w:rPr>
        <w:t>at ACOG</w:t>
      </w:r>
      <w:r w:rsidR="00FE6CF7">
        <w:rPr>
          <w:rFonts w:asciiTheme="minorHAnsi" w:hAnsiTheme="minorHAnsi" w:cstheme="minorHAnsi"/>
        </w:rPr>
        <w:t xml:space="preserve">. </w:t>
      </w:r>
      <w:r>
        <w:rPr>
          <w:rFonts w:asciiTheme="minorHAnsi" w:hAnsiTheme="minorHAnsi" w:cstheme="minorHAnsi"/>
        </w:rPr>
        <w:t xml:space="preserve"> </w:t>
      </w:r>
      <w:r w:rsidR="00FE6CF7">
        <w:rPr>
          <w:rFonts w:asciiTheme="minorHAnsi" w:hAnsiTheme="minorHAnsi" w:cstheme="minorHAnsi"/>
        </w:rPr>
        <w:t>ACOG</w:t>
      </w:r>
      <w:r w:rsidR="00FE6CF7" w:rsidRPr="00FE6CF7">
        <w:rPr>
          <w:rFonts w:asciiTheme="minorHAnsi" w:hAnsiTheme="minorHAnsi" w:cstheme="minorHAnsi"/>
        </w:rPr>
        <w:t xml:space="preserve"> has a state toolkit with additional examples</w:t>
      </w:r>
      <w:r w:rsidR="00FE6CF7">
        <w:rPr>
          <w:rFonts w:asciiTheme="minorHAnsi" w:hAnsiTheme="minorHAnsi" w:cstheme="minorHAnsi"/>
        </w:rPr>
        <w:t>.</w:t>
      </w:r>
    </w:p>
    <w:sectPr w:rsidR="00A30D7E" w:rsidRPr="0001134C" w:rsidSect="0049764D">
      <w:footerReference w:type="default" r:id="rId18"/>
      <w:pgSz w:w="12240" w:h="15840"/>
      <w:pgMar w:top="720" w:right="720" w:bottom="720" w:left="720" w:header="720" w:footer="169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6BCB52" w16cid:durableId="203C90C4"/>
  <w16cid:commentId w16cid:paraId="0389FDA0" w16cid:durableId="203C8F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51AA" w14:textId="77777777" w:rsidR="00366DE9" w:rsidRDefault="00366DE9" w:rsidP="00A512F4">
      <w:r>
        <w:separator/>
      </w:r>
    </w:p>
  </w:endnote>
  <w:endnote w:type="continuationSeparator" w:id="0">
    <w:p w14:paraId="501C1FD8" w14:textId="77777777" w:rsidR="00366DE9" w:rsidRDefault="00366DE9" w:rsidP="00A5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42E35" w14:textId="0B32965F" w:rsidR="00F50DFA" w:rsidRDefault="00F50DFA" w:rsidP="00F50DFA">
    <w:pPr>
      <w:pStyle w:val="Footer"/>
    </w:pPr>
  </w:p>
  <w:p w14:paraId="27A3A04C" w14:textId="2EBF6153" w:rsidR="00F50DFA" w:rsidRDefault="0049764D">
    <w:pPr>
      <w:pStyle w:val="Footer"/>
    </w:pPr>
    <w:r>
      <w:rPr>
        <w:noProof/>
      </w:rPr>
      <w:drawing>
        <wp:anchor distT="0" distB="0" distL="114300" distR="114300" simplePos="0" relativeHeight="251659264" behindDoc="1" locked="0" layoutInCell="0" allowOverlap="1" wp14:anchorId="5F7C0FBA" wp14:editId="6F2C49F4">
          <wp:simplePos x="0" y="0"/>
          <wp:positionH relativeFrom="page">
            <wp:align>right</wp:align>
          </wp:positionH>
          <wp:positionV relativeFrom="page">
            <wp:align>bottom</wp:align>
          </wp:positionV>
          <wp:extent cx="7772400" cy="1079500"/>
          <wp:effectExtent l="0" t="0" r="0" b="6350"/>
          <wp:wrapNone/>
          <wp:docPr id="9" name="Picture 9" descr="foto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79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1C927" w14:textId="77777777" w:rsidR="00366DE9" w:rsidRDefault="00366DE9" w:rsidP="00A512F4">
      <w:r>
        <w:separator/>
      </w:r>
    </w:p>
  </w:footnote>
  <w:footnote w:type="continuationSeparator" w:id="0">
    <w:p w14:paraId="16C7A1AE" w14:textId="77777777" w:rsidR="00366DE9" w:rsidRDefault="00366DE9" w:rsidP="00A5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055AB"/>
    <w:multiLevelType w:val="hybridMultilevel"/>
    <w:tmpl w:val="FBFCBA3C"/>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6F340F"/>
    <w:multiLevelType w:val="hybridMultilevel"/>
    <w:tmpl w:val="3D9AA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F36D2"/>
    <w:multiLevelType w:val="hybridMultilevel"/>
    <w:tmpl w:val="93C6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3878"/>
    <w:multiLevelType w:val="hybridMultilevel"/>
    <w:tmpl w:val="192E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D2FAE"/>
    <w:multiLevelType w:val="hybridMultilevel"/>
    <w:tmpl w:val="D3447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1C67B6"/>
    <w:multiLevelType w:val="hybridMultilevel"/>
    <w:tmpl w:val="E8B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A6129"/>
    <w:multiLevelType w:val="hybridMultilevel"/>
    <w:tmpl w:val="CD90CAFC"/>
    <w:lvl w:ilvl="0" w:tplc="A5D0C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93423F"/>
    <w:multiLevelType w:val="hybridMultilevel"/>
    <w:tmpl w:val="D63427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5"/>
  </w:num>
  <w:num w:numId="5">
    <w:abstractNumId w:val="0"/>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CE"/>
    <w:rsid w:val="0001134C"/>
    <w:rsid w:val="00043F29"/>
    <w:rsid w:val="00053A8C"/>
    <w:rsid w:val="00080E11"/>
    <w:rsid w:val="001430CF"/>
    <w:rsid w:val="001531DE"/>
    <w:rsid w:val="0016703F"/>
    <w:rsid w:val="001823B9"/>
    <w:rsid w:val="001E6668"/>
    <w:rsid w:val="00222959"/>
    <w:rsid w:val="00263B21"/>
    <w:rsid w:val="002653F2"/>
    <w:rsid w:val="0027008E"/>
    <w:rsid w:val="002A511B"/>
    <w:rsid w:val="002B77E6"/>
    <w:rsid w:val="00331524"/>
    <w:rsid w:val="00366DE9"/>
    <w:rsid w:val="00372DD9"/>
    <w:rsid w:val="00373DBD"/>
    <w:rsid w:val="0038430F"/>
    <w:rsid w:val="003B5C64"/>
    <w:rsid w:val="003B73C4"/>
    <w:rsid w:val="003C312D"/>
    <w:rsid w:val="003D69BF"/>
    <w:rsid w:val="0049764D"/>
    <w:rsid w:val="00513E8D"/>
    <w:rsid w:val="005215F2"/>
    <w:rsid w:val="00545B3D"/>
    <w:rsid w:val="00552132"/>
    <w:rsid w:val="00553319"/>
    <w:rsid w:val="005663D7"/>
    <w:rsid w:val="00600BBA"/>
    <w:rsid w:val="00612808"/>
    <w:rsid w:val="00656DE0"/>
    <w:rsid w:val="006747C7"/>
    <w:rsid w:val="006768C8"/>
    <w:rsid w:val="00684E3B"/>
    <w:rsid w:val="006941CF"/>
    <w:rsid w:val="0069558F"/>
    <w:rsid w:val="0069735D"/>
    <w:rsid w:val="006A06D6"/>
    <w:rsid w:val="006A4A0B"/>
    <w:rsid w:val="00701BDB"/>
    <w:rsid w:val="00711E7F"/>
    <w:rsid w:val="00736C80"/>
    <w:rsid w:val="0073732F"/>
    <w:rsid w:val="00751C94"/>
    <w:rsid w:val="00757970"/>
    <w:rsid w:val="007B27BC"/>
    <w:rsid w:val="007B35D8"/>
    <w:rsid w:val="007C5511"/>
    <w:rsid w:val="007D6516"/>
    <w:rsid w:val="00803FDB"/>
    <w:rsid w:val="00870062"/>
    <w:rsid w:val="00885F2C"/>
    <w:rsid w:val="008D5ECC"/>
    <w:rsid w:val="00910CBB"/>
    <w:rsid w:val="009319CE"/>
    <w:rsid w:val="00951B5F"/>
    <w:rsid w:val="00972951"/>
    <w:rsid w:val="00981FB1"/>
    <w:rsid w:val="009A1FEB"/>
    <w:rsid w:val="009C13E4"/>
    <w:rsid w:val="009F4DCE"/>
    <w:rsid w:val="00A30D7E"/>
    <w:rsid w:val="00A512F4"/>
    <w:rsid w:val="00A662D2"/>
    <w:rsid w:val="00A73BEF"/>
    <w:rsid w:val="00AC3827"/>
    <w:rsid w:val="00AD44CB"/>
    <w:rsid w:val="00B310DD"/>
    <w:rsid w:val="00B37843"/>
    <w:rsid w:val="00B93ED0"/>
    <w:rsid w:val="00BD1452"/>
    <w:rsid w:val="00BE63AC"/>
    <w:rsid w:val="00BE6B84"/>
    <w:rsid w:val="00C04C19"/>
    <w:rsid w:val="00C13EB9"/>
    <w:rsid w:val="00C35251"/>
    <w:rsid w:val="00C41A0D"/>
    <w:rsid w:val="00CC1F81"/>
    <w:rsid w:val="00CD6ACB"/>
    <w:rsid w:val="00CE4948"/>
    <w:rsid w:val="00D42D15"/>
    <w:rsid w:val="00E46195"/>
    <w:rsid w:val="00E87207"/>
    <w:rsid w:val="00EC58B6"/>
    <w:rsid w:val="00EC601C"/>
    <w:rsid w:val="00EC7A71"/>
    <w:rsid w:val="00ED3D95"/>
    <w:rsid w:val="00EE19D7"/>
    <w:rsid w:val="00EF03AD"/>
    <w:rsid w:val="00EF546C"/>
    <w:rsid w:val="00F50DFA"/>
    <w:rsid w:val="00F73059"/>
    <w:rsid w:val="00F8491D"/>
    <w:rsid w:val="00FA083E"/>
    <w:rsid w:val="00FE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323B62"/>
  <w15:chartTrackingRefBased/>
  <w15:docId w15:val="{D2E4531F-588B-4A55-9703-1AE964D6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C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D7E"/>
    <w:pPr>
      <w:ind w:left="720"/>
      <w:contextualSpacing/>
    </w:pPr>
  </w:style>
  <w:style w:type="character" w:styleId="Hyperlink">
    <w:name w:val="Hyperlink"/>
    <w:basedOn w:val="DefaultParagraphFont"/>
    <w:uiPriority w:val="99"/>
    <w:unhideWhenUsed/>
    <w:rsid w:val="0001134C"/>
    <w:rPr>
      <w:color w:val="0563C1" w:themeColor="hyperlink"/>
      <w:u w:val="single"/>
    </w:rPr>
  </w:style>
  <w:style w:type="character" w:customStyle="1" w:styleId="Mention1">
    <w:name w:val="Mention1"/>
    <w:basedOn w:val="DefaultParagraphFont"/>
    <w:uiPriority w:val="99"/>
    <w:semiHidden/>
    <w:unhideWhenUsed/>
    <w:rsid w:val="0001134C"/>
    <w:rPr>
      <w:color w:val="2B579A"/>
      <w:shd w:val="clear" w:color="auto" w:fill="E6E6E6"/>
    </w:rPr>
  </w:style>
  <w:style w:type="paragraph" w:styleId="Header">
    <w:name w:val="header"/>
    <w:basedOn w:val="Normal"/>
    <w:link w:val="HeaderChar"/>
    <w:uiPriority w:val="99"/>
    <w:unhideWhenUsed/>
    <w:rsid w:val="00A512F4"/>
    <w:pPr>
      <w:tabs>
        <w:tab w:val="center" w:pos="4680"/>
        <w:tab w:val="right" w:pos="9360"/>
      </w:tabs>
    </w:pPr>
  </w:style>
  <w:style w:type="character" w:customStyle="1" w:styleId="HeaderChar">
    <w:name w:val="Header Char"/>
    <w:basedOn w:val="DefaultParagraphFont"/>
    <w:link w:val="Header"/>
    <w:uiPriority w:val="99"/>
    <w:rsid w:val="00A512F4"/>
    <w:rPr>
      <w:rFonts w:ascii="Times New Roman" w:hAnsi="Times New Roman" w:cs="Times New Roman"/>
      <w:sz w:val="24"/>
      <w:szCs w:val="24"/>
    </w:rPr>
  </w:style>
  <w:style w:type="paragraph" w:styleId="Footer">
    <w:name w:val="footer"/>
    <w:basedOn w:val="Normal"/>
    <w:link w:val="FooterChar"/>
    <w:uiPriority w:val="99"/>
    <w:unhideWhenUsed/>
    <w:rsid w:val="00A512F4"/>
    <w:pPr>
      <w:tabs>
        <w:tab w:val="center" w:pos="4680"/>
        <w:tab w:val="right" w:pos="9360"/>
      </w:tabs>
    </w:pPr>
  </w:style>
  <w:style w:type="character" w:customStyle="1" w:styleId="FooterChar">
    <w:name w:val="Footer Char"/>
    <w:basedOn w:val="DefaultParagraphFont"/>
    <w:link w:val="Footer"/>
    <w:uiPriority w:val="99"/>
    <w:rsid w:val="00A512F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03FDB"/>
    <w:rPr>
      <w:color w:val="954F72" w:themeColor="followedHyperlink"/>
      <w:u w:val="single"/>
    </w:rPr>
  </w:style>
  <w:style w:type="character" w:customStyle="1" w:styleId="Mention2">
    <w:name w:val="Mention2"/>
    <w:basedOn w:val="DefaultParagraphFont"/>
    <w:uiPriority w:val="99"/>
    <w:semiHidden/>
    <w:unhideWhenUsed/>
    <w:rsid w:val="00043F29"/>
    <w:rPr>
      <w:color w:val="2B579A"/>
      <w:shd w:val="clear" w:color="auto" w:fill="E6E6E6"/>
    </w:rPr>
  </w:style>
  <w:style w:type="character" w:styleId="CommentReference">
    <w:name w:val="annotation reference"/>
    <w:basedOn w:val="DefaultParagraphFont"/>
    <w:uiPriority w:val="99"/>
    <w:semiHidden/>
    <w:unhideWhenUsed/>
    <w:rsid w:val="00043F29"/>
    <w:rPr>
      <w:sz w:val="16"/>
      <w:szCs w:val="16"/>
    </w:rPr>
  </w:style>
  <w:style w:type="paragraph" w:styleId="CommentText">
    <w:name w:val="annotation text"/>
    <w:basedOn w:val="Normal"/>
    <w:link w:val="CommentTextChar"/>
    <w:uiPriority w:val="99"/>
    <w:unhideWhenUsed/>
    <w:rsid w:val="00043F29"/>
    <w:rPr>
      <w:sz w:val="20"/>
      <w:szCs w:val="20"/>
    </w:rPr>
  </w:style>
  <w:style w:type="character" w:customStyle="1" w:styleId="CommentTextChar">
    <w:name w:val="Comment Text Char"/>
    <w:basedOn w:val="DefaultParagraphFont"/>
    <w:link w:val="CommentText"/>
    <w:uiPriority w:val="99"/>
    <w:rsid w:val="00043F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F29"/>
    <w:rPr>
      <w:b/>
      <w:bCs/>
    </w:rPr>
  </w:style>
  <w:style w:type="character" w:customStyle="1" w:styleId="CommentSubjectChar">
    <w:name w:val="Comment Subject Char"/>
    <w:basedOn w:val="CommentTextChar"/>
    <w:link w:val="CommentSubject"/>
    <w:uiPriority w:val="99"/>
    <w:semiHidden/>
    <w:rsid w:val="00043F29"/>
    <w:rPr>
      <w:rFonts w:ascii="Times New Roman" w:hAnsi="Times New Roman" w:cs="Times New Roman"/>
      <w:b/>
      <w:bCs/>
      <w:sz w:val="20"/>
      <w:szCs w:val="20"/>
    </w:rPr>
  </w:style>
  <w:style w:type="paragraph" w:styleId="Revision">
    <w:name w:val="Revision"/>
    <w:hidden/>
    <w:uiPriority w:val="99"/>
    <w:semiHidden/>
    <w:rsid w:val="00043F2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43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29"/>
    <w:rPr>
      <w:rFonts w:ascii="Segoe UI" w:hAnsi="Segoe UI" w:cs="Segoe UI"/>
      <w:sz w:val="18"/>
      <w:szCs w:val="18"/>
    </w:rPr>
  </w:style>
  <w:style w:type="paragraph" w:styleId="PlainText">
    <w:name w:val="Plain Text"/>
    <w:basedOn w:val="Normal"/>
    <w:link w:val="PlainTextChar"/>
    <w:uiPriority w:val="99"/>
    <w:semiHidden/>
    <w:unhideWhenUsed/>
    <w:rsid w:val="00F73059"/>
    <w:rPr>
      <w:rFonts w:ascii="Calibri" w:hAnsi="Calibri"/>
      <w:sz w:val="22"/>
      <w:szCs w:val="22"/>
    </w:rPr>
  </w:style>
  <w:style w:type="character" w:customStyle="1" w:styleId="PlainTextChar">
    <w:name w:val="Plain Text Char"/>
    <w:basedOn w:val="DefaultParagraphFont"/>
    <w:link w:val="PlainText"/>
    <w:uiPriority w:val="99"/>
    <w:semiHidden/>
    <w:rsid w:val="00F73059"/>
    <w:rPr>
      <w:rFonts w:ascii="Calibri" w:hAnsi="Calibri" w:cs="Times New Roman"/>
    </w:rPr>
  </w:style>
  <w:style w:type="character" w:customStyle="1" w:styleId="Mention3">
    <w:name w:val="Mention3"/>
    <w:basedOn w:val="DefaultParagraphFont"/>
    <w:uiPriority w:val="99"/>
    <w:semiHidden/>
    <w:unhideWhenUsed/>
    <w:rsid w:val="00711E7F"/>
    <w:rPr>
      <w:color w:val="2B579A"/>
      <w:shd w:val="clear" w:color="auto" w:fill="E6E6E6"/>
    </w:rPr>
  </w:style>
  <w:style w:type="character" w:customStyle="1" w:styleId="UnresolvedMention">
    <w:name w:val="Unresolved Mention"/>
    <w:basedOn w:val="DefaultParagraphFont"/>
    <w:uiPriority w:val="99"/>
    <w:semiHidden/>
    <w:unhideWhenUsed/>
    <w:rsid w:val="00D4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5621">
      <w:bodyDiv w:val="1"/>
      <w:marLeft w:val="0"/>
      <w:marRight w:val="0"/>
      <w:marTop w:val="0"/>
      <w:marBottom w:val="0"/>
      <w:divBdr>
        <w:top w:val="none" w:sz="0" w:space="0" w:color="auto"/>
        <w:left w:val="none" w:sz="0" w:space="0" w:color="auto"/>
        <w:bottom w:val="none" w:sz="0" w:space="0" w:color="auto"/>
        <w:right w:val="none" w:sz="0" w:space="0" w:color="auto"/>
      </w:divBdr>
      <w:divsChild>
        <w:div w:id="2088578259">
          <w:marLeft w:val="0"/>
          <w:marRight w:val="0"/>
          <w:marTop w:val="0"/>
          <w:marBottom w:val="0"/>
          <w:divBdr>
            <w:top w:val="none" w:sz="0" w:space="0" w:color="auto"/>
            <w:left w:val="none" w:sz="0" w:space="0" w:color="auto"/>
            <w:bottom w:val="none" w:sz="0" w:space="0" w:color="auto"/>
            <w:right w:val="none" w:sz="0" w:space="0" w:color="auto"/>
          </w:divBdr>
        </w:div>
        <w:div w:id="524365289">
          <w:marLeft w:val="0"/>
          <w:marRight w:val="0"/>
          <w:marTop w:val="0"/>
          <w:marBottom w:val="0"/>
          <w:divBdr>
            <w:top w:val="none" w:sz="0" w:space="0" w:color="auto"/>
            <w:left w:val="none" w:sz="0" w:space="0" w:color="auto"/>
            <w:bottom w:val="none" w:sz="0" w:space="0" w:color="auto"/>
            <w:right w:val="none" w:sz="0" w:space="0" w:color="auto"/>
          </w:divBdr>
        </w:div>
        <w:div w:id="1322929953">
          <w:marLeft w:val="0"/>
          <w:marRight w:val="0"/>
          <w:marTop w:val="0"/>
          <w:marBottom w:val="0"/>
          <w:divBdr>
            <w:top w:val="none" w:sz="0" w:space="0" w:color="auto"/>
            <w:left w:val="none" w:sz="0" w:space="0" w:color="auto"/>
            <w:bottom w:val="none" w:sz="0" w:space="0" w:color="auto"/>
            <w:right w:val="none" w:sz="0" w:space="0" w:color="auto"/>
          </w:divBdr>
        </w:div>
        <w:div w:id="1209880018">
          <w:marLeft w:val="0"/>
          <w:marRight w:val="0"/>
          <w:marTop w:val="0"/>
          <w:marBottom w:val="0"/>
          <w:divBdr>
            <w:top w:val="none" w:sz="0" w:space="0" w:color="auto"/>
            <w:left w:val="none" w:sz="0" w:space="0" w:color="auto"/>
            <w:bottom w:val="none" w:sz="0" w:space="0" w:color="auto"/>
            <w:right w:val="none" w:sz="0" w:space="0" w:color="auto"/>
          </w:divBdr>
        </w:div>
      </w:divsChild>
    </w:div>
    <w:div w:id="578255121">
      <w:bodyDiv w:val="1"/>
      <w:marLeft w:val="0"/>
      <w:marRight w:val="0"/>
      <w:marTop w:val="0"/>
      <w:marBottom w:val="0"/>
      <w:divBdr>
        <w:top w:val="none" w:sz="0" w:space="0" w:color="auto"/>
        <w:left w:val="none" w:sz="0" w:space="0" w:color="auto"/>
        <w:bottom w:val="none" w:sz="0" w:space="0" w:color="auto"/>
        <w:right w:val="none" w:sz="0" w:space="0" w:color="auto"/>
      </w:divBdr>
    </w:div>
    <w:div w:id="15819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RCW/default.aspx?cite=70.54.450" TargetMode="External"/><Relationship Id="rId13" Type="http://schemas.openxmlformats.org/officeDocument/2006/relationships/hyperlink" Target="https://www.cga.ct.gov/2018/ACT/pa/2018PA-00150-R00SB-00304-PA.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jtKde7hGz4I&amp;t=19s" TargetMode="External"/><Relationship Id="rId12" Type="http://schemas.openxmlformats.org/officeDocument/2006/relationships/hyperlink" Target="http://reviewtoaction.org/content/texas-health-and-safety-code-chapter-34-maternal-mortality-and-morbidity-task-force" TargetMode="External"/><Relationship Id="rId17" Type="http://schemas.openxmlformats.org/officeDocument/2006/relationships/hyperlink" Target="mailto:kmoore@acog.org" TargetMode="External"/><Relationship Id="rId2" Type="http://schemas.openxmlformats.org/officeDocument/2006/relationships/styles" Target="styles.xml"/><Relationship Id="rId16" Type="http://schemas.openxmlformats.org/officeDocument/2006/relationships/hyperlink" Target="mailto:acornell@amchp.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ewtoaction.org/content/legislation-establishing-georgia-maternal-mortality-review-committee" TargetMode="External"/><Relationship Id="rId5" Type="http://schemas.openxmlformats.org/officeDocument/2006/relationships/footnotes" Target="footnotes.xml"/><Relationship Id="rId15" Type="http://schemas.openxmlformats.org/officeDocument/2006/relationships/hyperlink" Target="mailto:jzaharatos@cdc.gov" TargetMode="External"/><Relationship Id="rId10" Type="http://schemas.openxmlformats.org/officeDocument/2006/relationships/hyperlink" Target="http://reviewtoaction.org/content/legislation-establishing-georgia-maternal-mortality-review-committ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viewtoaction.org/content/legislation-establishing-georgia-maternal-mortality-review-committee" TargetMode="External"/><Relationship Id="rId14" Type="http://schemas.openxmlformats.org/officeDocument/2006/relationships/hyperlink" Target="http://wapp.capitol.tn.gov/apps/BillInfo/Default.aspx?BillNumber=HB1757&amp;ga=109"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 Cornell</dc:creator>
  <cp:keywords/>
  <dc:description/>
  <cp:lastModifiedBy>Zaharatos, Julie (CDC/DDNID/NCCDPHP/DRH)</cp:lastModifiedBy>
  <cp:revision>2</cp:revision>
  <cp:lastPrinted>2019-04-08T15:54:00Z</cp:lastPrinted>
  <dcterms:created xsi:type="dcterms:W3CDTF">2019-06-14T20:03:00Z</dcterms:created>
  <dcterms:modified xsi:type="dcterms:W3CDTF">2019-06-14T20:03:00Z</dcterms:modified>
</cp:coreProperties>
</file>